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792"/>
        <w:gridCol w:w="810"/>
        <w:gridCol w:w="720"/>
        <w:gridCol w:w="738"/>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FC23F9" w:rsidRPr="00FA2FBA" w:rsidTr="00D8784E">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FC23F9" w:rsidRPr="00FA2FBA" w:rsidRDefault="00FC23F9"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FC23F9" w:rsidRPr="002D5FD9" w:rsidRDefault="00FC23F9"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FC23F9" w:rsidRPr="002D5FD9" w:rsidRDefault="00FC23F9"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FC23F9" w:rsidRPr="002D5FD9" w:rsidRDefault="00FC23F9" w:rsidP="00C60409">
            <w:pPr>
              <w:jc w:val="right"/>
              <w:rPr>
                <w:b/>
                <w:bCs/>
                <w:szCs w:val="16"/>
              </w:rPr>
            </w:pPr>
            <w:r>
              <w:rPr>
                <w:b/>
                <w:bCs/>
                <w:szCs w:val="16"/>
              </w:rPr>
              <w:t>FY20</w:t>
            </w:r>
          </w:p>
        </w:tc>
        <w:tc>
          <w:tcPr>
            <w:tcW w:w="1602" w:type="dxa"/>
            <w:gridSpan w:val="2"/>
            <w:tcBorders>
              <w:top w:val="single" w:sz="12" w:space="0" w:color="auto"/>
              <w:left w:val="single" w:sz="4" w:space="0" w:color="auto"/>
              <w:bottom w:val="single" w:sz="4" w:space="0" w:color="auto"/>
            </w:tcBorders>
            <w:shd w:val="clear" w:color="auto" w:fill="auto"/>
            <w:vAlign w:val="center"/>
          </w:tcPr>
          <w:p w:rsidR="00FC23F9" w:rsidRPr="00FA2FBA" w:rsidRDefault="00FC23F9" w:rsidP="006965DE">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FC23F9" w:rsidRPr="00FA2FBA" w:rsidRDefault="00FC23F9" w:rsidP="006965DE">
            <w:pPr>
              <w:rPr>
                <w:b/>
                <w:bCs/>
                <w:color w:val="auto"/>
                <w:szCs w:val="16"/>
              </w:rPr>
            </w:pPr>
            <w:r>
              <w:rPr>
                <w:b/>
                <w:bCs/>
                <w:color w:val="auto"/>
                <w:szCs w:val="16"/>
              </w:rPr>
              <w:t>2021</w:t>
            </w:r>
          </w:p>
        </w:tc>
      </w:tr>
      <w:tr w:rsidR="00A70FC7" w:rsidRPr="00FA2FBA" w:rsidTr="00D8784E">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A70FC7" w:rsidRPr="00FA2FBA" w:rsidRDefault="00A70FC7" w:rsidP="00A70FC7">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Jun</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386E4A" w:rsidP="00A70FC7">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946E91" w:rsidRDefault="00A70FC7" w:rsidP="00A70FC7">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A70FC7" w:rsidRPr="00946E91" w:rsidRDefault="00A70FC7" w:rsidP="00A70FC7">
            <w:pPr>
              <w:jc w:val="right"/>
              <w:rPr>
                <w:b/>
                <w:color w:val="auto"/>
                <w:sz w:val="14"/>
                <w:szCs w:val="14"/>
              </w:rPr>
            </w:pPr>
            <w:r>
              <w:rPr>
                <w:b/>
                <w:color w:val="auto"/>
                <w:sz w:val="14"/>
                <w:szCs w:val="14"/>
              </w:rPr>
              <w:t>May</w:t>
            </w:r>
          </w:p>
        </w:tc>
        <w:tc>
          <w:tcPr>
            <w:tcW w:w="738" w:type="dxa"/>
            <w:tcBorders>
              <w:top w:val="single" w:sz="4" w:space="0" w:color="auto"/>
              <w:bottom w:val="single" w:sz="12" w:space="0" w:color="auto"/>
            </w:tcBorders>
            <w:shd w:val="clear" w:color="auto" w:fill="auto"/>
            <w:tcMar>
              <w:left w:w="43" w:type="dxa"/>
              <w:right w:w="43" w:type="dxa"/>
            </w:tcMar>
            <w:vAlign w:val="center"/>
          </w:tcPr>
          <w:p w:rsidR="00A70FC7" w:rsidRPr="00650EA0" w:rsidRDefault="00A70FC7" w:rsidP="00A70FC7">
            <w:pPr>
              <w:jc w:val="right"/>
              <w:rPr>
                <w:b/>
                <w:color w:val="auto"/>
                <w:sz w:val="14"/>
                <w:szCs w:val="14"/>
                <w:vertAlign w:val="superscript"/>
              </w:rPr>
            </w:pPr>
            <w:r>
              <w:rPr>
                <w:b/>
                <w:color w:val="auto"/>
                <w:sz w:val="14"/>
                <w:szCs w:val="14"/>
              </w:rPr>
              <w:t>Jun</w:t>
            </w:r>
            <w:r w:rsidR="00386E4A">
              <w:rPr>
                <w:b/>
                <w:color w:val="auto"/>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A70FC7" w:rsidRPr="00386E4A" w:rsidRDefault="00386E4A" w:rsidP="00A70FC7">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386E4A" w:rsidRPr="00FA2FBA" w:rsidTr="00D8784E">
        <w:trPr>
          <w:trHeight w:val="312"/>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443,767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443,767</w:t>
            </w:r>
          </w:p>
        </w:tc>
        <w:tc>
          <w:tcPr>
            <w:tcW w:w="792" w:type="dxa"/>
            <w:tcBorders>
              <w:top w:val="single" w:sz="12" w:space="0" w:color="auto"/>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690,738</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1,160,175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1,265,731</w:t>
            </w:r>
          </w:p>
        </w:tc>
        <w:tc>
          <w:tcPr>
            <w:tcW w:w="738" w:type="dxa"/>
            <w:tcBorders>
              <w:top w:val="single" w:sz="12" w:space="0" w:color="auto"/>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1,503,508</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1,656,564</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3,407,727</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3,407,727</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3,499,566</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3,623,451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3,771,032</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3,982,369</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4,215,261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617,495</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681,860</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563,800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609,733</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577,356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616,399</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29,540</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29,540</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29,266</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64,736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60,187</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60,776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61,373</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63,690</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41,181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22,195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21,652</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20,707</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20,707</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2,036,193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2,090,331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2,314,128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2,325,376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2,597,007</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2,540,159</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178,688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178,688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178,049</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209,832</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298,678</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270,268</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505,031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272</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516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481,849</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478,878</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448,752</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455,405</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455,740</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471,592</w:t>
            </w:r>
          </w:p>
        </w:tc>
      </w:tr>
      <w:tr w:rsidR="00386E4A" w:rsidRPr="006764F7"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i/>
                <w:iCs/>
                <w:sz w:val="14"/>
                <w:szCs w:val="14"/>
              </w:rPr>
            </w:pPr>
            <w:r>
              <w:rPr>
                <w:i/>
                <w:iCs/>
                <w:sz w:val="14"/>
                <w:szCs w:val="14"/>
              </w:rPr>
              <w:t>469,863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478,877</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i/>
                <w:iCs/>
                <w:sz w:val="14"/>
                <w:szCs w:val="14"/>
              </w:rPr>
            </w:pPr>
            <w:r>
              <w:rPr>
                <w:i/>
                <w:iCs/>
                <w:sz w:val="14"/>
                <w:szCs w:val="14"/>
              </w:rPr>
              <w:t>448,750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455,404</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i/>
                <w:iCs/>
                <w:sz w:val="14"/>
                <w:szCs w:val="14"/>
              </w:rPr>
            </w:pPr>
            <w:r>
              <w:rPr>
                <w:i/>
                <w:iCs/>
                <w:sz w:val="14"/>
                <w:szCs w:val="14"/>
              </w:rPr>
              <w:t>471,591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2,963,960</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2,963,960</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2,808,828</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2,463,276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2,505,301</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2,478,861</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2,558,697</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971,458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794,275</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416,583</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419,946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429,296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440,910</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1,286,378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1,286,378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1,302,443</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1,106,475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1,122,880</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1,077,724</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1,114,031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86E4A" w:rsidRDefault="00273F0F"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273F0F" w:rsidP="00386E4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273F0F"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476,723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480,625</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722,123</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741,656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748,494</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775,385</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229,401</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229,401</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231,486</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218,095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220,818</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223,346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228,372</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1,834,014</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1,834,014</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2,206,882</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2,856,553</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3,659,516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3,121,422</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3,612,981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6,536,002</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6,536,002</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6,077,931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5,355,345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4,794,110</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5,398,380</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4,831,778</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6,753,900</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6,753,900</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6,337,743</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5,931,896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5,374,061</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5,784,309</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5,314,129</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7,318,853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7,318,853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7,027,198</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6,854,929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6,908,022</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6,724,357</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6,732,458</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7,276,775</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7,276,775</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6,984,752</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6,814,580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6,866,063</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6,681,949</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6,690,051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42,078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42,446</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40,349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41,959</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42,407</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42,407</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564,953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689,455</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923,033</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1,533,960</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940,048</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1,418,329</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564,953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689,455</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923,033</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1,533,960</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940,048</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1,418,329</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(217,898)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(259,812)</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(576,551)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(579,952)</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(482,351)</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21,688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22,153</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2,794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5,149</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296</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21,688</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22,153</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2,794</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5,149</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296</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239,586</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281,966</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579,345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585,101</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482,647</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239,586</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281,966</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579,345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585,101</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386,225</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482,647</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25,663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25,663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25,341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29,886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29,546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29,194</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29,880</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4,754</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4,754</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4,351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5,583</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5,136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4,354</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4,968</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36</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43</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19</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20,873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20,873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20,950</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24,272</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24,375</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24,797</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24,893</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7,651,864</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7,651,864</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7,703,052</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8,179,121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8,434,086</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8,718,447</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6,458,763</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6,778,561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7,183,016</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7,366,894</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7,665,403</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b/>
                <w:bCs/>
                <w:sz w:val="14"/>
                <w:szCs w:val="14"/>
              </w:rPr>
            </w:pPr>
            <w:r>
              <w:rPr>
                <w:b/>
                <w:bCs/>
                <w:sz w:val="14"/>
                <w:szCs w:val="14"/>
              </w:rPr>
              <w:t>1,168,496</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921,181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992,351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1,063,715</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1,049,370</w:t>
            </w:r>
          </w:p>
        </w:tc>
      </w:tr>
      <w:tr w:rsidR="00386E4A" w:rsidRPr="00FA2FBA" w:rsidTr="00D8784E">
        <w:trPr>
          <w:trHeight w:val="266"/>
        </w:trPr>
        <w:tc>
          <w:tcPr>
            <w:tcW w:w="3912" w:type="dxa"/>
            <w:tcBorders>
              <w:top w:val="nil"/>
              <w:left w:val="nil"/>
              <w:bottom w:val="nil"/>
              <w:right w:val="nil"/>
            </w:tcBorders>
            <w:shd w:val="clear" w:color="auto" w:fill="auto"/>
            <w:noWrap/>
            <w:vAlign w:val="center"/>
            <w:hideMark/>
          </w:tcPr>
          <w:p w:rsidR="00386E4A" w:rsidRPr="00FA2FBA" w:rsidRDefault="00386E4A" w:rsidP="00386E4A">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1,168,496</w:t>
            </w:r>
          </w:p>
        </w:tc>
        <w:tc>
          <w:tcPr>
            <w:tcW w:w="792"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921,181</w:t>
            </w:r>
          </w:p>
        </w:tc>
        <w:tc>
          <w:tcPr>
            <w:tcW w:w="810" w:type="dxa"/>
            <w:tcBorders>
              <w:top w:val="nil"/>
              <w:left w:val="nil"/>
              <w:bottom w:val="nil"/>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992,351</w:t>
            </w:r>
          </w:p>
        </w:tc>
        <w:tc>
          <w:tcPr>
            <w:tcW w:w="720"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1,063,715</w:t>
            </w:r>
          </w:p>
        </w:tc>
        <w:tc>
          <w:tcPr>
            <w:tcW w:w="738" w:type="dxa"/>
            <w:tcBorders>
              <w:top w:val="nil"/>
              <w:left w:val="nil"/>
              <w:bottom w:val="nil"/>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1,326,605</w:t>
            </w:r>
          </w:p>
        </w:tc>
        <w:tc>
          <w:tcPr>
            <w:tcW w:w="720" w:type="dxa"/>
            <w:tcBorders>
              <w:top w:val="nil"/>
              <w:left w:val="nil"/>
              <w:bottom w:val="nil"/>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1,049,370</w:t>
            </w:r>
          </w:p>
        </w:tc>
      </w:tr>
      <w:tr w:rsidR="00386E4A" w:rsidRPr="00FA2FBA" w:rsidTr="00D8784E">
        <w:trPr>
          <w:trHeight w:val="266"/>
        </w:trPr>
        <w:tc>
          <w:tcPr>
            <w:tcW w:w="3912" w:type="dxa"/>
            <w:tcBorders>
              <w:top w:val="nil"/>
              <w:left w:val="nil"/>
              <w:bottom w:val="single" w:sz="12" w:space="0" w:color="auto"/>
              <w:right w:val="nil"/>
            </w:tcBorders>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86E4A" w:rsidRDefault="00386E4A" w:rsidP="00386E4A">
            <w:pPr>
              <w:jc w:val="right"/>
              <w:rPr>
                <w:sz w:val="14"/>
                <w:szCs w:val="14"/>
              </w:rPr>
            </w:pPr>
            <w:r>
              <w:rPr>
                <w:sz w:val="14"/>
                <w:szCs w:val="14"/>
              </w:rPr>
              <w:t>-</w:t>
            </w:r>
          </w:p>
        </w:tc>
        <w:tc>
          <w:tcPr>
            <w:tcW w:w="792" w:type="dxa"/>
            <w:tcBorders>
              <w:top w:val="nil"/>
              <w:left w:val="nil"/>
              <w:bottom w:val="single" w:sz="12" w:space="0" w:color="auto"/>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38" w:type="dxa"/>
            <w:tcBorders>
              <w:top w:val="nil"/>
              <w:left w:val="nil"/>
              <w:bottom w:val="single" w:sz="12" w:space="0" w:color="auto"/>
              <w:right w:val="nil"/>
            </w:tcBorders>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50"/>
        <w:gridCol w:w="702"/>
        <w:gridCol w:w="810"/>
        <w:gridCol w:w="772"/>
        <w:gridCol w:w="686"/>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FC23F9" w:rsidRPr="00FA2FBA" w:rsidTr="00D8784E">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FC23F9" w:rsidRPr="00FA2FBA" w:rsidRDefault="00FC23F9" w:rsidP="005251D4">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FC23F9" w:rsidRPr="002D5FD9" w:rsidRDefault="00FC23F9" w:rsidP="005251D4">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FC23F9" w:rsidRPr="002D5FD9" w:rsidRDefault="00FC23F9" w:rsidP="005251D4">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FC23F9" w:rsidRPr="002D5FD9" w:rsidRDefault="00FC23F9" w:rsidP="00C60409">
            <w:pPr>
              <w:jc w:val="right"/>
              <w:rPr>
                <w:b/>
                <w:bCs/>
                <w:szCs w:val="16"/>
              </w:rPr>
            </w:pPr>
            <w:r>
              <w:rPr>
                <w:b/>
                <w:bCs/>
                <w:szCs w:val="16"/>
              </w:rPr>
              <w:t>FY20</w:t>
            </w:r>
          </w:p>
        </w:tc>
        <w:tc>
          <w:tcPr>
            <w:tcW w:w="1452" w:type="dxa"/>
            <w:gridSpan w:val="2"/>
            <w:tcBorders>
              <w:top w:val="single" w:sz="12" w:space="0" w:color="auto"/>
              <w:left w:val="single" w:sz="4" w:space="0" w:color="auto"/>
              <w:bottom w:val="single" w:sz="4" w:space="0" w:color="auto"/>
            </w:tcBorders>
            <w:shd w:val="clear" w:color="auto" w:fill="auto"/>
            <w:vAlign w:val="center"/>
          </w:tcPr>
          <w:p w:rsidR="00FC23F9" w:rsidRPr="00FA2FBA" w:rsidRDefault="00FC23F9" w:rsidP="005251D4">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FC23F9" w:rsidRPr="00FA2FBA" w:rsidRDefault="00FC23F9" w:rsidP="005251D4">
            <w:pPr>
              <w:rPr>
                <w:b/>
                <w:bCs/>
                <w:color w:val="auto"/>
                <w:szCs w:val="16"/>
              </w:rPr>
            </w:pPr>
            <w:r>
              <w:rPr>
                <w:b/>
                <w:bCs/>
                <w:color w:val="auto"/>
                <w:szCs w:val="16"/>
              </w:rPr>
              <w:t>2021</w:t>
            </w:r>
          </w:p>
        </w:tc>
      </w:tr>
      <w:tr w:rsidR="00A70FC7" w:rsidRPr="00FA2FBA" w:rsidTr="00D8784E">
        <w:trPr>
          <w:trHeight w:val="268"/>
        </w:trPr>
        <w:tc>
          <w:tcPr>
            <w:tcW w:w="4088" w:type="dxa"/>
            <w:vMerge/>
            <w:tcBorders>
              <w:bottom w:val="single" w:sz="12" w:space="0" w:color="auto"/>
              <w:right w:val="single" w:sz="4" w:space="0" w:color="auto"/>
            </w:tcBorders>
            <w:shd w:val="clear" w:color="auto" w:fill="auto"/>
            <w:noWrap/>
            <w:vAlign w:val="center"/>
            <w:hideMark/>
          </w:tcPr>
          <w:p w:rsidR="00A70FC7" w:rsidRPr="00FA2FBA" w:rsidRDefault="00A70FC7" w:rsidP="00A70FC7">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75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Jun</w:t>
            </w:r>
          </w:p>
        </w:tc>
        <w:tc>
          <w:tcPr>
            <w:tcW w:w="702" w:type="dxa"/>
            <w:tcBorders>
              <w:bottom w:val="single" w:sz="12" w:space="0" w:color="auto"/>
              <w:right w:val="single" w:sz="4" w:space="0" w:color="auto"/>
            </w:tcBorders>
            <w:shd w:val="clear" w:color="auto" w:fill="auto"/>
            <w:tcMar>
              <w:left w:w="43" w:type="dxa"/>
              <w:right w:w="43" w:type="dxa"/>
            </w:tcMar>
            <w:vAlign w:val="center"/>
          </w:tcPr>
          <w:p w:rsidR="00A70FC7" w:rsidRPr="006619BF" w:rsidRDefault="00386E4A" w:rsidP="00A70FC7">
            <w:pPr>
              <w:jc w:val="right"/>
              <w:rPr>
                <w:b/>
                <w:color w:val="auto"/>
                <w:sz w:val="14"/>
                <w:szCs w:val="14"/>
              </w:rPr>
            </w:pPr>
            <w:r>
              <w:rPr>
                <w:b/>
                <w:color w:val="auto"/>
                <w:sz w:val="14"/>
                <w:szCs w:val="14"/>
              </w:rPr>
              <w:t>Jul</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A70FC7" w:rsidRPr="00946E91" w:rsidRDefault="00A70FC7" w:rsidP="00A70FC7">
            <w:pPr>
              <w:jc w:val="right"/>
              <w:rPr>
                <w:b/>
                <w:color w:val="auto"/>
                <w:sz w:val="14"/>
                <w:szCs w:val="14"/>
              </w:rPr>
            </w:pPr>
            <w:r>
              <w:rPr>
                <w:b/>
                <w:color w:val="auto"/>
                <w:sz w:val="14"/>
                <w:szCs w:val="14"/>
              </w:rPr>
              <w:t>Apr</w:t>
            </w:r>
          </w:p>
        </w:tc>
        <w:tc>
          <w:tcPr>
            <w:tcW w:w="772" w:type="dxa"/>
            <w:tcBorders>
              <w:bottom w:val="single" w:sz="12" w:space="0" w:color="auto"/>
            </w:tcBorders>
            <w:shd w:val="clear" w:color="auto" w:fill="auto"/>
            <w:tcMar>
              <w:left w:w="43" w:type="dxa"/>
              <w:right w:w="43" w:type="dxa"/>
            </w:tcMar>
            <w:vAlign w:val="center"/>
          </w:tcPr>
          <w:p w:rsidR="00A70FC7" w:rsidRPr="00946E91" w:rsidRDefault="00A70FC7" w:rsidP="00A70FC7">
            <w:pPr>
              <w:jc w:val="right"/>
              <w:rPr>
                <w:b/>
                <w:color w:val="auto"/>
                <w:sz w:val="14"/>
                <w:szCs w:val="14"/>
              </w:rPr>
            </w:pPr>
            <w:r>
              <w:rPr>
                <w:b/>
                <w:color w:val="auto"/>
                <w:sz w:val="14"/>
                <w:szCs w:val="14"/>
              </w:rPr>
              <w:t>May</w:t>
            </w:r>
          </w:p>
        </w:tc>
        <w:tc>
          <w:tcPr>
            <w:tcW w:w="686" w:type="dxa"/>
            <w:tcBorders>
              <w:bottom w:val="single" w:sz="12" w:space="0" w:color="auto"/>
            </w:tcBorders>
            <w:shd w:val="clear" w:color="auto" w:fill="auto"/>
            <w:tcMar>
              <w:left w:w="43" w:type="dxa"/>
              <w:right w:w="43" w:type="dxa"/>
            </w:tcMar>
            <w:vAlign w:val="center"/>
          </w:tcPr>
          <w:p w:rsidR="00A70FC7" w:rsidRPr="00946E91" w:rsidRDefault="00A70FC7" w:rsidP="00A70FC7">
            <w:pPr>
              <w:jc w:val="right"/>
              <w:rPr>
                <w:b/>
                <w:color w:val="auto"/>
                <w:sz w:val="14"/>
                <w:szCs w:val="14"/>
              </w:rPr>
            </w:pPr>
            <w:r>
              <w:rPr>
                <w:b/>
                <w:color w:val="auto"/>
                <w:sz w:val="14"/>
                <w:szCs w:val="14"/>
              </w:rPr>
              <w:t>Jun</w:t>
            </w:r>
            <w:r w:rsidR="00386E4A">
              <w:rPr>
                <w:b/>
                <w:color w:val="auto"/>
                <w:sz w:val="14"/>
                <w:szCs w:val="14"/>
                <w:vertAlign w:val="superscript"/>
              </w:rPr>
              <w:t xml:space="preserve"> 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A70FC7" w:rsidRPr="00386E4A" w:rsidRDefault="00386E4A" w:rsidP="00A70FC7">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386E4A" w:rsidRPr="00FA2FBA" w:rsidTr="00D8784E">
        <w:trPr>
          <w:trHeight w:val="245"/>
        </w:trPr>
        <w:tc>
          <w:tcPr>
            <w:tcW w:w="4088" w:type="dxa"/>
            <w:tcBorders>
              <w:top w:val="single" w:sz="12" w:space="0" w:color="auto"/>
            </w:tcBorders>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24,605</w:t>
            </w:r>
          </w:p>
        </w:tc>
        <w:tc>
          <w:tcPr>
            <w:tcW w:w="750" w:type="dxa"/>
            <w:tcBorders>
              <w:top w:val="single" w:sz="12" w:space="0" w:color="auto"/>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24,605</w:t>
            </w:r>
          </w:p>
        </w:tc>
        <w:tc>
          <w:tcPr>
            <w:tcW w:w="702" w:type="dxa"/>
            <w:tcBorders>
              <w:top w:val="single" w:sz="12" w:space="0" w:color="auto"/>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3,310</w:t>
            </w:r>
          </w:p>
        </w:tc>
        <w:tc>
          <w:tcPr>
            <w:tcW w:w="810" w:type="dxa"/>
            <w:tcBorders>
              <w:top w:val="single" w:sz="12" w:space="0" w:color="auto"/>
            </w:tcBorders>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3,754</w:t>
            </w:r>
          </w:p>
        </w:tc>
        <w:tc>
          <w:tcPr>
            <w:tcW w:w="772" w:type="dxa"/>
            <w:tcBorders>
              <w:top w:val="single" w:sz="12" w:space="0" w:color="auto"/>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3,477</w:t>
            </w:r>
          </w:p>
        </w:tc>
        <w:tc>
          <w:tcPr>
            <w:tcW w:w="686" w:type="dxa"/>
            <w:tcBorders>
              <w:top w:val="single" w:sz="12" w:space="0" w:color="auto"/>
            </w:tcBorders>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3,615</w:t>
            </w:r>
          </w:p>
        </w:tc>
        <w:tc>
          <w:tcPr>
            <w:tcW w:w="720" w:type="dxa"/>
            <w:tcBorders>
              <w:top w:val="single" w:sz="12" w:space="0" w:color="auto"/>
            </w:tcBorders>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3,674</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1,455</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1,455</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1,450</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2,235</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2,232</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2,231</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2,255</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63</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75</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75</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73</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17</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14</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14</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132</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157</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158</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158</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159</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150</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150</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150</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162</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1,208</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1,218</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1,222</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1,222</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1,219</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2,068</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2,068</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2,066</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2,080</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23,150</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23,150</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1,860</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1,519</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1,245</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1,384</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1,419</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941</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1,651</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2,914</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2,914</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1,373</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893</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786</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770</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905</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512</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602</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20,236</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20,236</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487</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626</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459</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615</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513</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74,886</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74,886</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75,026</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77,738</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81,358</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82,219</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82,305</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86E4A" w:rsidRDefault="00386E4A" w:rsidP="00386E4A">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386E4A" w:rsidRDefault="00386E4A" w:rsidP="00386E4A">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386E4A" w:rsidRDefault="00386E4A" w:rsidP="00386E4A">
            <w:pPr>
              <w:ind w:firstLineChars="200" w:firstLine="320"/>
              <w:jc w:val="right"/>
              <w:rPr>
                <w:i/>
                <w:iCs/>
                <w:szCs w:val="16"/>
              </w:rPr>
            </w:pPr>
            <w:r>
              <w:rPr>
                <w:i/>
                <w:iCs/>
                <w:szCs w:val="16"/>
              </w:rPr>
              <w:t>-</w:t>
            </w:r>
          </w:p>
        </w:tc>
        <w:tc>
          <w:tcPr>
            <w:tcW w:w="750" w:type="dxa"/>
            <w:shd w:val="clear" w:color="auto" w:fill="auto"/>
            <w:tcMar>
              <w:left w:w="43" w:type="dxa"/>
              <w:right w:w="43" w:type="dxa"/>
            </w:tcMar>
            <w:vAlign w:val="center"/>
            <w:hideMark/>
          </w:tcPr>
          <w:p w:rsidR="00386E4A" w:rsidRDefault="00386E4A" w:rsidP="00386E4A">
            <w:pPr>
              <w:ind w:firstLineChars="200" w:firstLine="320"/>
              <w:jc w:val="right"/>
              <w:rPr>
                <w:i/>
                <w:iCs/>
                <w:szCs w:val="16"/>
              </w:rPr>
            </w:pPr>
            <w:r>
              <w:rPr>
                <w:i/>
                <w:iCs/>
                <w:szCs w:val="16"/>
              </w:rPr>
              <w:t>-</w:t>
            </w:r>
          </w:p>
        </w:tc>
        <w:tc>
          <w:tcPr>
            <w:tcW w:w="702" w:type="dxa"/>
            <w:shd w:val="clear" w:color="auto" w:fill="auto"/>
            <w:tcMar>
              <w:left w:w="43" w:type="dxa"/>
              <w:right w:w="43" w:type="dxa"/>
            </w:tcMar>
            <w:vAlign w:val="center"/>
          </w:tcPr>
          <w:p w:rsidR="00386E4A" w:rsidRDefault="00386E4A" w:rsidP="00386E4A">
            <w:pPr>
              <w:ind w:firstLineChars="200" w:firstLine="320"/>
              <w:jc w:val="right"/>
              <w:rPr>
                <w:i/>
                <w:iCs/>
                <w:szCs w:val="16"/>
              </w:rPr>
            </w:pPr>
            <w:r>
              <w:rPr>
                <w:i/>
                <w:iCs/>
                <w:szCs w:val="16"/>
              </w:rPr>
              <w:t>-</w:t>
            </w:r>
          </w:p>
        </w:tc>
        <w:tc>
          <w:tcPr>
            <w:tcW w:w="810" w:type="dxa"/>
            <w:shd w:val="clear" w:color="auto" w:fill="auto"/>
            <w:tcMar>
              <w:left w:w="43" w:type="dxa"/>
              <w:right w:w="43" w:type="dxa"/>
            </w:tcMar>
            <w:vAlign w:val="center"/>
            <w:hideMark/>
          </w:tcPr>
          <w:p w:rsidR="00386E4A" w:rsidRDefault="00386E4A" w:rsidP="00386E4A">
            <w:pPr>
              <w:ind w:firstLineChars="200" w:firstLine="320"/>
              <w:jc w:val="right"/>
              <w:rPr>
                <w:i/>
                <w:iCs/>
                <w:szCs w:val="16"/>
              </w:rPr>
            </w:pPr>
            <w:r>
              <w:rPr>
                <w:i/>
                <w:iCs/>
                <w:szCs w:val="16"/>
              </w:rPr>
              <w:t>-</w:t>
            </w:r>
          </w:p>
        </w:tc>
        <w:tc>
          <w:tcPr>
            <w:tcW w:w="772" w:type="dxa"/>
            <w:shd w:val="clear" w:color="auto" w:fill="auto"/>
            <w:tcMar>
              <w:left w:w="43" w:type="dxa"/>
              <w:right w:w="43" w:type="dxa"/>
            </w:tcMar>
            <w:vAlign w:val="center"/>
          </w:tcPr>
          <w:p w:rsidR="00386E4A" w:rsidRDefault="00386E4A" w:rsidP="00386E4A">
            <w:pPr>
              <w:ind w:firstLineChars="200" w:firstLine="320"/>
              <w:jc w:val="right"/>
              <w:rPr>
                <w:i/>
                <w:iCs/>
                <w:szCs w:val="16"/>
              </w:rPr>
            </w:pPr>
            <w:r>
              <w:rPr>
                <w:i/>
                <w:iCs/>
                <w:szCs w:val="16"/>
              </w:rPr>
              <w:t>-</w:t>
            </w:r>
          </w:p>
        </w:tc>
        <w:tc>
          <w:tcPr>
            <w:tcW w:w="686" w:type="dxa"/>
            <w:shd w:val="clear" w:color="auto" w:fill="auto"/>
            <w:tcMar>
              <w:left w:w="43" w:type="dxa"/>
              <w:right w:w="43" w:type="dxa"/>
            </w:tcMar>
            <w:vAlign w:val="center"/>
          </w:tcPr>
          <w:p w:rsidR="00386E4A" w:rsidRDefault="00386E4A" w:rsidP="00386E4A">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386E4A" w:rsidRDefault="00386E4A" w:rsidP="00386E4A">
            <w:pPr>
              <w:ind w:firstLineChars="200" w:firstLine="320"/>
              <w:jc w:val="right"/>
              <w:rPr>
                <w:i/>
                <w:iCs/>
                <w:szCs w:val="16"/>
              </w:rPr>
            </w:pPr>
            <w:r>
              <w:rPr>
                <w:i/>
                <w:iCs/>
                <w:szCs w:val="16"/>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1,085,592</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1,085,592</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1,210,534</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1,542,847</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1,649,680</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1,680,162</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1,793,615</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100</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100</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100</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100</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100</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100</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100</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100</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100</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12,779</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6,941</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152,767</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152,767</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213,344</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656,507</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717,407</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773,290</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847,701</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110,715</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112,538</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167,413</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167,413</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167,413</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167,413</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167,413</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167,413</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167,413</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451,482</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623,562</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765,311</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765,311</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829,677</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718,827</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764,760</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739,358</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778,401</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27,104</w:t>
            </w:r>
          </w:p>
        </w:tc>
        <w:tc>
          <w:tcPr>
            <w:tcW w:w="75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27,104</w:t>
            </w:r>
          </w:p>
        </w:tc>
        <w:tc>
          <w:tcPr>
            <w:tcW w:w="70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12,280</w:t>
            </w:r>
          </w:p>
        </w:tc>
        <w:tc>
          <w:tcPr>
            <w:tcW w:w="810" w:type="dxa"/>
            <w:shd w:val="clear" w:color="auto" w:fill="auto"/>
            <w:tcMar>
              <w:left w:w="43" w:type="dxa"/>
              <w:right w:w="43" w:type="dxa"/>
            </w:tcMar>
            <w:vAlign w:val="center"/>
            <w:hideMark/>
          </w:tcPr>
          <w:p w:rsidR="00386E4A" w:rsidRDefault="00386E4A" w:rsidP="00386E4A">
            <w:pPr>
              <w:jc w:val="right"/>
              <w:rPr>
                <w:b/>
                <w:bCs/>
                <w:sz w:val="14"/>
                <w:szCs w:val="14"/>
              </w:rPr>
            </w:pPr>
            <w:r>
              <w:rPr>
                <w:b/>
                <w:bCs/>
                <w:sz w:val="14"/>
                <w:szCs w:val="14"/>
              </w:rPr>
              <w:t>(397,748)</w:t>
            </w:r>
          </w:p>
        </w:tc>
        <w:tc>
          <w:tcPr>
            <w:tcW w:w="772"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(416,222)</w:t>
            </w:r>
          </w:p>
        </w:tc>
        <w:tc>
          <w:tcPr>
            <w:tcW w:w="686" w:type="dxa"/>
            <w:shd w:val="clear" w:color="auto" w:fill="auto"/>
            <w:tcMar>
              <w:left w:w="43" w:type="dxa"/>
              <w:right w:w="43" w:type="dxa"/>
            </w:tcMar>
            <w:vAlign w:val="center"/>
          </w:tcPr>
          <w:p w:rsidR="00386E4A" w:rsidRDefault="00386E4A" w:rsidP="00386E4A">
            <w:pPr>
              <w:jc w:val="right"/>
              <w:rPr>
                <w:b/>
                <w:bCs/>
                <w:sz w:val="14"/>
                <w:szCs w:val="14"/>
              </w:rPr>
            </w:pPr>
            <w:r>
              <w:rPr>
                <w:b/>
                <w:bCs/>
                <w:sz w:val="14"/>
                <w:szCs w:val="14"/>
              </w:rPr>
              <w:t>(318,957)</w:t>
            </w:r>
          </w:p>
        </w:tc>
        <w:tc>
          <w:tcPr>
            <w:tcW w:w="720" w:type="dxa"/>
            <w:shd w:val="clear" w:color="auto" w:fill="auto"/>
            <w:noWrap/>
            <w:tcMar>
              <w:left w:w="43" w:type="dxa"/>
              <w:right w:w="43" w:type="dxa"/>
            </w:tcMar>
            <w:vAlign w:val="center"/>
          </w:tcPr>
          <w:p w:rsidR="00386E4A" w:rsidRDefault="00386E4A" w:rsidP="00386E4A">
            <w:pPr>
              <w:jc w:val="right"/>
              <w:rPr>
                <w:b/>
                <w:bCs/>
                <w:sz w:val="14"/>
                <w:szCs w:val="14"/>
              </w:rPr>
            </w:pPr>
            <w:r>
              <w:rPr>
                <w:b/>
                <w:bCs/>
                <w:sz w:val="14"/>
                <w:szCs w:val="14"/>
              </w:rPr>
              <w:t>(463,164)</w:t>
            </w:r>
          </w:p>
        </w:tc>
      </w:tr>
      <w:tr w:rsidR="00386E4A" w:rsidRPr="00FA2FBA" w:rsidTr="00D8784E">
        <w:trPr>
          <w:trHeight w:val="245"/>
        </w:trPr>
        <w:tc>
          <w:tcPr>
            <w:tcW w:w="4088" w:type="dxa"/>
            <w:shd w:val="clear" w:color="auto" w:fill="auto"/>
            <w:noWrap/>
            <w:vAlign w:val="center"/>
            <w:hideMark/>
          </w:tcPr>
          <w:p w:rsidR="00386E4A" w:rsidRPr="00FA2FBA" w:rsidRDefault="00386E4A" w:rsidP="00386E4A">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161,463</w:t>
            </w:r>
          </w:p>
        </w:tc>
        <w:tc>
          <w:tcPr>
            <w:tcW w:w="737" w:type="dxa"/>
            <w:shd w:val="clear" w:color="auto" w:fill="auto"/>
            <w:tcMar>
              <w:left w:w="43" w:type="dxa"/>
              <w:right w:w="43" w:type="dxa"/>
            </w:tcMar>
            <w:vAlign w:val="center"/>
          </w:tcPr>
          <w:p w:rsidR="00386E4A" w:rsidRDefault="00386E4A" w:rsidP="00386E4A">
            <w:pPr>
              <w:jc w:val="right"/>
              <w:rPr>
                <w:sz w:val="14"/>
                <w:szCs w:val="14"/>
              </w:rPr>
            </w:pPr>
            <w:r>
              <w:rPr>
                <w:sz w:val="14"/>
                <w:szCs w:val="14"/>
              </w:rPr>
              <w:t>394,703</w:t>
            </w:r>
          </w:p>
        </w:tc>
        <w:tc>
          <w:tcPr>
            <w:tcW w:w="815" w:type="dxa"/>
            <w:shd w:val="clear" w:color="auto" w:fill="auto"/>
            <w:tcMar>
              <w:left w:w="43" w:type="dxa"/>
              <w:right w:w="43" w:type="dxa"/>
            </w:tcMar>
            <w:vAlign w:val="center"/>
          </w:tcPr>
          <w:p w:rsidR="00386E4A" w:rsidRDefault="00386E4A" w:rsidP="00386E4A">
            <w:pPr>
              <w:jc w:val="right"/>
              <w:rPr>
                <w:sz w:val="14"/>
                <w:szCs w:val="14"/>
              </w:rPr>
            </w:pPr>
            <w:r>
              <w:rPr>
                <w:sz w:val="14"/>
                <w:szCs w:val="14"/>
              </w:rPr>
              <w:t>207,740</w:t>
            </w:r>
          </w:p>
        </w:tc>
        <w:tc>
          <w:tcPr>
            <w:tcW w:w="75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207,740</w:t>
            </w:r>
          </w:p>
        </w:tc>
        <w:tc>
          <w:tcPr>
            <w:tcW w:w="702" w:type="dxa"/>
            <w:shd w:val="clear" w:color="auto" w:fill="auto"/>
            <w:tcMar>
              <w:left w:w="43" w:type="dxa"/>
              <w:right w:w="43" w:type="dxa"/>
            </w:tcMar>
            <w:vAlign w:val="center"/>
          </w:tcPr>
          <w:p w:rsidR="00386E4A" w:rsidRDefault="00386E4A" w:rsidP="00386E4A">
            <w:pPr>
              <w:jc w:val="right"/>
              <w:rPr>
                <w:sz w:val="14"/>
                <w:szCs w:val="14"/>
              </w:rPr>
            </w:pPr>
            <w:r>
              <w:rPr>
                <w:sz w:val="14"/>
                <w:szCs w:val="14"/>
              </w:rPr>
              <w:t>214,468</w:t>
            </w:r>
          </w:p>
        </w:tc>
        <w:tc>
          <w:tcPr>
            <w:tcW w:w="810" w:type="dxa"/>
            <w:shd w:val="clear" w:color="auto" w:fill="auto"/>
            <w:tcMar>
              <w:left w:w="43" w:type="dxa"/>
              <w:right w:w="43" w:type="dxa"/>
            </w:tcMar>
            <w:vAlign w:val="center"/>
            <w:hideMark/>
          </w:tcPr>
          <w:p w:rsidR="00386E4A" w:rsidRDefault="00386E4A" w:rsidP="00386E4A">
            <w:pPr>
              <w:jc w:val="right"/>
              <w:rPr>
                <w:sz w:val="14"/>
                <w:szCs w:val="14"/>
              </w:rPr>
            </w:pPr>
            <w:r>
              <w:rPr>
                <w:sz w:val="14"/>
                <w:szCs w:val="14"/>
              </w:rPr>
              <w:t>192,712</w:t>
            </w:r>
          </w:p>
        </w:tc>
        <w:tc>
          <w:tcPr>
            <w:tcW w:w="772" w:type="dxa"/>
            <w:shd w:val="clear" w:color="auto" w:fill="auto"/>
            <w:tcMar>
              <w:left w:w="43" w:type="dxa"/>
              <w:right w:w="43" w:type="dxa"/>
            </w:tcMar>
            <w:vAlign w:val="center"/>
          </w:tcPr>
          <w:p w:rsidR="00386E4A" w:rsidRDefault="00386E4A" w:rsidP="00386E4A">
            <w:pPr>
              <w:jc w:val="right"/>
              <w:rPr>
                <w:sz w:val="14"/>
                <w:szCs w:val="14"/>
              </w:rPr>
            </w:pPr>
            <w:r>
              <w:rPr>
                <w:sz w:val="14"/>
                <w:szCs w:val="14"/>
              </w:rPr>
              <w:t>165,880</w:t>
            </w:r>
          </w:p>
        </w:tc>
        <w:tc>
          <w:tcPr>
            <w:tcW w:w="686" w:type="dxa"/>
            <w:shd w:val="clear" w:color="auto" w:fill="auto"/>
            <w:tcMar>
              <w:left w:w="43" w:type="dxa"/>
              <w:right w:w="43" w:type="dxa"/>
            </w:tcMar>
            <w:vAlign w:val="center"/>
          </w:tcPr>
          <w:p w:rsidR="00386E4A" w:rsidRDefault="00386E4A" w:rsidP="00386E4A">
            <w:pPr>
              <w:jc w:val="right"/>
              <w:rPr>
                <w:sz w:val="14"/>
                <w:szCs w:val="14"/>
              </w:rPr>
            </w:pPr>
            <w:r>
              <w:rPr>
                <w:sz w:val="14"/>
                <w:szCs w:val="14"/>
              </w:rPr>
              <w:t>397,796</w:t>
            </w:r>
          </w:p>
        </w:tc>
        <w:tc>
          <w:tcPr>
            <w:tcW w:w="720" w:type="dxa"/>
            <w:shd w:val="clear" w:color="auto" w:fill="auto"/>
            <w:noWrap/>
            <w:tcMar>
              <w:left w:w="43" w:type="dxa"/>
              <w:right w:w="43" w:type="dxa"/>
            </w:tcMar>
            <w:vAlign w:val="center"/>
          </w:tcPr>
          <w:p w:rsidR="00386E4A" w:rsidRDefault="00386E4A" w:rsidP="00386E4A">
            <w:pPr>
              <w:jc w:val="right"/>
              <w:rPr>
                <w:sz w:val="14"/>
                <w:szCs w:val="14"/>
              </w:rPr>
            </w:pPr>
            <w:r>
              <w:rPr>
                <w:sz w:val="14"/>
                <w:szCs w:val="14"/>
              </w:rPr>
              <w:t>537,843</w:t>
            </w:r>
          </w:p>
        </w:tc>
      </w:tr>
      <w:tr w:rsidR="00386E4A" w:rsidRPr="00FA2FBA" w:rsidTr="00D8784E">
        <w:trPr>
          <w:trHeight w:val="245"/>
        </w:trPr>
        <w:tc>
          <w:tcPr>
            <w:tcW w:w="4088" w:type="dxa"/>
            <w:tcBorders>
              <w:bottom w:val="single" w:sz="12" w:space="0" w:color="auto"/>
            </w:tcBorders>
            <w:shd w:val="clear" w:color="auto" w:fill="auto"/>
            <w:noWrap/>
            <w:vAlign w:val="center"/>
            <w:hideMark/>
          </w:tcPr>
          <w:p w:rsidR="00386E4A" w:rsidRPr="00FA2FBA" w:rsidRDefault="00386E4A" w:rsidP="00386E4A">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386E4A" w:rsidRDefault="00386E4A" w:rsidP="00386E4A">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180,636</w:t>
            </w:r>
          </w:p>
        </w:tc>
        <w:tc>
          <w:tcPr>
            <w:tcW w:w="750" w:type="dxa"/>
            <w:tcBorders>
              <w:bottom w:val="single" w:sz="12" w:space="0" w:color="auto"/>
            </w:tcBorders>
            <w:shd w:val="clear" w:color="auto" w:fill="auto"/>
            <w:tcMar>
              <w:left w:w="43" w:type="dxa"/>
              <w:right w:w="43" w:type="dxa"/>
            </w:tcMar>
            <w:vAlign w:val="center"/>
            <w:hideMark/>
          </w:tcPr>
          <w:p w:rsidR="00386E4A" w:rsidRDefault="00386E4A" w:rsidP="00386E4A">
            <w:pPr>
              <w:jc w:val="right"/>
              <w:rPr>
                <w:i/>
                <w:iCs/>
                <w:sz w:val="14"/>
                <w:szCs w:val="14"/>
              </w:rPr>
            </w:pPr>
            <w:r>
              <w:rPr>
                <w:i/>
                <w:iCs/>
                <w:sz w:val="14"/>
                <w:szCs w:val="14"/>
              </w:rPr>
              <w:t>180,636</w:t>
            </w:r>
          </w:p>
        </w:tc>
        <w:tc>
          <w:tcPr>
            <w:tcW w:w="702" w:type="dxa"/>
            <w:tcBorders>
              <w:bottom w:val="single" w:sz="12" w:space="0" w:color="auto"/>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202,189</w:t>
            </w:r>
          </w:p>
        </w:tc>
        <w:tc>
          <w:tcPr>
            <w:tcW w:w="810" w:type="dxa"/>
            <w:tcBorders>
              <w:bottom w:val="single" w:sz="12" w:space="0" w:color="auto"/>
            </w:tcBorders>
            <w:shd w:val="clear" w:color="auto" w:fill="auto"/>
            <w:tcMar>
              <w:left w:w="43" w:type="dxa"/>
              <w:right w:w="43" w:type="dxa"/>
            </w:tcMar>
            <w:vAlign w:val="center"/>
            <w:hideMark/>
          </w:tcPr>
          <w:p w:rsidR="00386E4A" w:rsidRDefault="00386E4A" w:rsidP="00386E4A">
            <w:pPr>
              <w:jc w:val="right"/>
              <w:rPr>
                <w:i/>
                <w:iCs/>
                <w:sz w:val="14"/>
                <w:szCs w:val="14"/>
              </w:rPr>
            </w:pPr>
            <w:r>
              <w:rPr>
                <w:i/>
                <w:iCs/>
                <w:sz w:val="14"/>
                <w:szCs w:val="14"/>
              </w:rPr>
              <w:t>590,460</w:t>
            </w:r>
          </w:p>
        </w:tc>
        <w:tc>
          <w:tcPr>
            <w:tcW w:w="772" w:type="dxa"/>
            <w:tcBorders>
              <w:bottom w:val="single" w:sz="12" w:space="0" w:color="auto"/>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582,102</w:t>
            </w:r>
          </w:p>
        </w:tc>
        <w:tc>
          <w:tcPr>
            <w:tcW w:w="686" w:type="dxa"/>
            <w:tcBorders>
              <w:bottom w:val="single" w:sz="12" w:space="0" w:color="auto"/>
            </w:tcBorders>
            <w:shd w:val="clear" w:color="auto" w:fill="auto"/>
            <w:tcMar>
              <w:left w:w="43" w:type="dxa"/>
              <w:right w:w="43" w:type="dxa"/>
            </w:tcMar>
            <w:vAlign w:val="center"/>
          </w:tcPr>
          <w:p w:rsidR="00386E4A" w:rsidRDefault="00386E4A" w:rsidP="00386E4A">
            <w:pPr>
              <w:jc w:val="right"/>
              <w:rPr>
                <w:i/>
                <w:iCs/>
                <w:sz w:val="14"/>
                <w:szCs w:val="14"/>
              </w:rPr>
            </w:pPr>
            <w:r>
              <w:rPr>
                <w:i/>
                <w:iCs/>
                <w:sz w:val="14"/>
                <w:szCs w:val="14"/>
              </w:rPr>
              <w:t>716,753</w:t>
            </w:r>
          </w:p>
        </w:tc>
        <w:tc>
          <w:tcPr>
            <w:tcW w:w="720" w:type="dxa"/>
            <w:tcBorders>
              <w:bottom w:val="single" w:sz="12" w:space="0" w:color="auto"/>
            </w:tcBorders>
            <w:shd w:val="clear" w:color="auto" w:fill="auto"/>
            <w:noWrap/>
            <w:tcMar>
              <w:left w:w="43" w:type="dxa"/>
              <w:right w:w="43" w:type="dxa"/>
            </w:tcMar>
            <w:vAlign w:val="center"/>
          </w:tcPr>
          <w:p w:rsidR="00386E4A" w:rsidRDefault="00386E4A" w:rsidP="00386E4A">
            <w:pPr>
              <w:jc w:val="right"/>
              <w:rPr>
                <w:i/>
                <w:iCs/>
                <w:sz w:val="14"/>
                <w:szCs w:val="14"/>
              </w:rPr>
            </w:pPr>
            <w:r>
              <w:rPr>
                <w:i/>
                <w:iCs/>
                <w:sz w:val="14"/>
                <w:szCs w:val="14"/>
              </w:rPr>
              <w:t>1,001,008</w:t>
            </w:r>
          </w:p>
        </w:tc>
      </w:tr>
      <w:tr w:rsidR="00A70FC7" w:rsidRPr="00FA2FBA" w:rsidTr="00045D0C">
        <w:trPr>
          <w:trHeight w:val="375"/>
        </w:trPr>
        <w:tc>
          <w:tcPr>
            <w:tcW w:w="10728" w:type="dxa"/>
            <w:gridSpan w:val="10"/>
            <w:tcBorders>
              <w:top w:val="single" w:sz="12" w:space="0" w:color="auto"/>
            </w:tcBorders>
            <w:shd w:val="clear" w:color="auto" w:fill="auto"/>
            <w:noWrap/>
            <w:hideMark/>
          </w:tcPr>
          <w:p w:rsidR="00A70FC7" w:rsidRDefault="00A70FC7" w:rsidP="00A70FC7">
            <w:pPr>
              <w:jc w:val="right"/>
              <w:rPr>
                <w:b/>
                <w:bCs/>
                <w:color w:val="auto"/>
                <w:sz w:val="14"/>
                <w:szCs w:val="14"/>
              </w:rPr>
            </w:pPr>
            <w:r>
              <w:rPr>
                <w:sz w:val="14"/>
                <w:szCs w:val="14"/>
              </w:rPr>
              <w:t>Source: Statistics &amp; Data Warehouse Department SBP</w:t>
            </w:r>
          </w:p>
          <w:p w:rsidR="00A70FC7" w:rsidRPr="00FA2FBA" w:rsidRDefault="00A70FC7" w:rsidP="00A70FC7">
            <w:pPr>
              <w:jc w:val="left"/>
              <w:rPr>
                <w:rFonts w:ascii="Calibri" w:hAnsi="Calibri"/>
                <w:sz w:val="22"/>
                <w:szCs w:val="22"/>
              </w:rPr>
            </w:pPr>
            <w:r w:rsidRPr="004F1CC1">
              <w:rPr>
                <w:b/>
                <w:bCs/>
                <w:color w:val="auto"/>
                <w:sz w:val="14"/>
                <w:szCs w:val="14"/>
              </w:rPr>
              <w:t xml:space="preserve">Note :  </w:t>
            </w:r>
          </w:p>
        </w:tc>
      </w:tr>
      <w:tr w:rsidR="00A70FC7" w:rsidRPr="00FA2FBA" w:rsidTr="00045D0C">
        <w:trPr>
          <w:trHeight w:val="423"/>
        </w:trPr>
        <w:tc>
          <w:tcPr>
            <w:tcW w:w="10728" w:type="dxa"/>
            <w:gridSpan w:val="10"/>
            <w:shd w:val="clear" w:color="auto" w:fill="auto"/>
            <w:noWrap/>
            <w:vAlign w:val="center"/>
            <w:hideMark/>
          </w:tcPr>
          <w:p w:rsidR="00A70FC7" w:rsidRPr="00B26D66" w:rsidRDefault="00A70FC7" w:rsidP="00A70FC7">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B26D66">
                <w:rPr>
                  <w:rFonts w:asciiTheme="majorBidi" w:hAnsiTheme="majorBidi" w:cstheme="majorBidi"/>
                  <w:color w:val="auto"/>
                  <w:sz w:val="14"/>
                  <w:szCs w:val="14"/>
                </w:rPr>
                <w:t>http://www.sbp.org.pk/departments/Guidelines.htm</w:t>
              </w:r>
            </w:hyperlink>
          </w:p>
          <w:p w:rsidR="00A70FC7" w:rsidRDefault="00A70FC7" w:rsidP="00A70FC7">
            <w:pPr>
              <w:numPr>
                <w:ilvl w:val="0"/>
                <w:numId w:val="14"/>
              </w:numPr>
              <w:tabs>
                <w:tab w:val="left" w:pos="450"/>
              </w:tabs>
              <w:ind w:left="360"/>
              <w:jc w:val="left"/>
              <w:rPr>
                <w:rFonts w:asciiTheme="majorBidi" w:hAnsiTheme="majorBidi" w:cstheme="majorBidi"/>
                <w:color w:val="auto"/>
                <w:sz w:val="14"/>
                <w:szCs w:val="14"/>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p w:rsidR="00A70FC7" w:rsidRDefault="00A70FC7" w:rsidP="00A70FC7">
            <w:pPr>
              <w:numPr>
                <w:ilvl w:val="0"/>
                <w:numId w:val="14"/>
              </w:numPr>
              <w:tabs>
                <w:tab w:val="left" w:pos="450"/>
              </w:tabs>
              <w:ind w:left="360"/>
              <w:jc w:val="left"/>
              <w:rPr>
                <w:rFonts w:asciiTheme="majorBidi" w:hAnsiTheme="majorBidi" w:cstheme="majorBidi"/>
                <w:color w:val="auto"/>
                <w:sz w:val="14"/>
                <w:szCs w:val="14"/>
              </w:rPr>
            </w:pPr>
            <w:r w:rsidRPr="001265F6">
              <w:rPr>
                <w:rFonts w:asciiTheme="majorBidi" w:hAnsiTheme="majorBidi" w:cstheme="majorBidi"/>
                <w:color w:val="auto"/>
                <w:sz w:val="14"/>
                <w:szCs w:val="14"/>
              </w:rPr>
              <w:t xml:space="preserve">Note Explaining major changes is available at: </w:t>
            </w:r>
            <w:hyperlink r:id="rId9" w:history="1">
              <w:r w:rsidRPr="001265F6">
                <w:rPr>
                  <w:rStyle w:val="Hyperlink"/>
                  <w:rFonts w:asciiTheme="majorBidi" w:hAnsiTheme="majorBidi" w:cstheme="majorBidi"/>
                  <w:sz w:val="14"/>
                  <w:szCs w:val="14"/>
                </w:rPr>
                <w:t>http://www.sbp.org.pk/departments/stats/ntb.htm</w:t>
              </w:r>
            </w:hyperlink>
          </w:p>
          <w:p w:rsidR="00A70FC7" w:rsidRPr="00B26D66" w:rsidRDefault="00A70FC7" w:rsidP="00A70FC7">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claims on Indian Government </w:t>
            </w:r>
            <w:proofErr w:type="gramStart"/>
            <w:r w:rsidRPr="00B26D66">
              <w:rPr>
                <w:rFonts w:asciiTheme="majorBidi" w:hAnsiTheme="majorBidi" w:cstheme="majorBidi"/>
                <w:color w:val="auto"/>
                <w:sz w:val="14"/>
                <w:szCs w:val="14"/>
              </w:rPr>
              <w:t>are reclassified</w:t>
            </w:r>
            <w:proofErr w:type="gramEnd"/>
            <w:r w:rsidRPr="00B26D66">
              <w:rPr>
                <w:rFonts w:asciiTheme="majorBidi" w:hAnsiTheme="majorBidi" w:cstheme="majorBidi"/>
                <w:color w:val="auto"/>
                <w:sz w:val="14"/>
                <w:szCs w:val="14"/>
              </w:rPr>
              <w:t xml:space="preserve"> as Other Assets in line with changes in SBP Statement of Affairs from July 2020.</w:t>
            </w:r>
          </w:p>
        </w:tc>
      </w:tr>
      <w:tr w:rsidR="00A70FC7" w:rsidRPr="00FA2FBA" w:rsidTr="00045D0C">
        <w:trPr>
          <w:trHeight w:val="268"/>
        </w:trPr>
        <w:tc>
          <w:tcPr>
            <w:tcW w:w="10728" w:type="dxa"/>
            <w:gridSpan w:val="10"/>
            <w:shd w:val="clear" w:color="auto" w:fill="auto"/>
            <w:noWrap/>
            <w:vAlign w:val="center"/>
            <w:hideMark/>
          </w:tcPr>
          <w:p w:rsidR="00A70FC7" w:rsidRPr="00CE511E" w:rsidRDefault="00A70FC7" w:rsidP="00A70FC7">
            <w:pPr>
              <w:ind w:left="288"/>
              <w:jc w:val="left"/>
              <w:rPr>
                <w:color w:val="0000FF"/>
                <w:sz w:val="14"/>
                <w:szCs w:val="14"/>
                <w:u w:val="single"/>
              </w:rPr>
            </w:pPr>
            <w:r>
              <w:rPr>
                <w:color w:val="auto"/>
                <w:sz w:val="14"/>
                <w:szCs w:val="14"/>
              </w:rPr>
              <w:t xml:space="preserve">  </w:t>
            </w: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rsidTr="00EF6543">
        <w:trPr>
          <w:trHeight w:val="216"/>
        </w:trPr>
        <w:tc>
          <w:tcPr>
            <w:tcW w:w="9962"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EF6543">
        <w:trPr>
          <w:trHeight w:val="216"/>
        </w:trPr>
        <w:tc>
          <w:tcPr>
            <w:tcW w:w="9962"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EF6543" w:rsidRPr="008245E8" w:rsidTr="00D8784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EF6543" w:rsidRPr="008245E8" w:rsidRDefault="00EF6543" w:rsidP="005251D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EF6543" w:rsidRPr="002D5FD9" w:rsidRDefault="00EF6543" w:rsidP="005251D4">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EF6543" w:rsidRPr="002D5FD9" w:rsidRDefault="00EF6543" w:rsidP="005251D4">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EF6543" w:rsidRPr="002D5FD9" w:rsidRDefault="00EF6543" w:rsidP="00C60409">
            <w:pPr>
              <w:jc w:val="right"/>
              <w:rPr>
                <w:b/>
                <w:bCs/>
                <w:szCs w:val="16"/>
              </w:rPr>
            </w:pPr>
            <w:r>
              <w:rPr>
                <w:b/>
                <w:bCs/>
                <w:szCs w:val="16"/>
              </w:rPr>
              <w:t>FY20</w:t>
            </w:r>
          </w:p>
        </w:tc>
        <w:tc>
          <w:tcPr>
            <w:tcW w:w="1674" w:type="dxa"/>
            <w:gridSpan w:val="2"/>
            <w:tcBorders>
              <w:top w:val="nil"/>
              <w:left w:val="single" w:sz="4" w:space="0" w:color="auto"/>
              <w:bottom w:val="single" w:sz="4" w:space="0" w:color="auto"/>
              <w:right w:val="single" w:sz="4" w:space="0" w:color="auto"/>
            </w:tcBorders>
            <w:shd w:val="clear" w:color="auto" w:fill="auto"/>
            <w:vAlign w:val="center"/>
          </w:tcPr>
          <w:p w:rsidR="00EF6543" w:rsidRPr="008245E8" w:rsidRDefault="00EF6543" w:rsidP="005251D4">
            <w:pPr>
              <w:rPr>
                <w:b/>
                <w:bCs/>
                <w:color w:val="auto"/>
                <w:szCs w:val="16"/>
              </w:rPr>
            </w:pPr>
            <w:r>
              <w:rPr>
                <w:b/>
                <w:bCs/>
                <w:color w:val="auto"/>
                <w:szCs w:val="16"/>
              </w:rPr>
              <w:t>2020</w:t>
            </w:r>
          </w:p>
        </w:tc>
        <w:tc>
          <w:tcPr>
            <w:tcW w:w="3052" w:type="dxa"/>
            <w:gridSpan w:val="4"/>
            <w:tcBorders>
              <w:top w:val="single" w:sz="12" w:space="0" w:color="auto"/>
              <w:left w:val="single" w:sz="4" w:space="0" w:color="auto"/>
              <w:bottom w:val="single" w:sz="4" w:space="0" w:color="auto"/>
              <w:right w:val="nil"/>
            </w:tcBorders>
            <w:shd w:val="clear" w:color="auto" w:fill="auto"/>
            <w:vAlign w:val="center"/>
          </w:tcPr>
          <w:p w:rsidR="00EF6543" w:rsidRPr="008245E8" w:rsidRDefault="00EF6543" w:rsidP="005251D4">
            <w:pPr>
              <w:rPr>
                <w:b/>
                <w:bCs/>
                <w:color w:val="auto"/>
                <w:szCs w:val="16"/>
              </w:rPr>
            </w:pPr>
            <w:r>
              <w:rPr>
                <w:b/>
                <w:bCs/>
                <w:color w:val="auto"/>
                <w:szCs w:val="16"/>
              </w:rPr>
              <w:t>2021</w:t>
            </w:r>
          </w:p>
        </w:tc>
      </w:tr>
      <w:tr w:rsidR="00A70FC7" w:rsidRPr="008245E8" w:rsidTr="00D8784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A70FC7" w:rsidRPr="008245E8" w:rsidRDefault="00A70FC7" w:rsidP="00A70FC7">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Jun</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CA2420" w:rsidP="00A70FC7">
            <w:pPr>
              <w:jc w:val="right"/>
              <w:rPr>
                <w:b/>
                <w:color w:val="auto"/>
                <w:sz w:val="14"/>
                <w:szCs w:val="14"/>
              </w:rPr>
            </w:pPr>
            <w:r>
              <w:rPr>
                <w:b/>
                <w:color w:val="auto"/>
                <w:sz w:val="14"/>
                <w:szCs w:val="14"/>
              </w:rPr>
              <w:t>Jul</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946E91" w:rsidRDefault="00A70FC7" w:rsidP="00A70FC7">
            <w:pPr>
              <w:jc w:val="right"/>
              <w:rPr>
                <w:b/>
                <w:color w:val="auto"/>
                <w:sz w:val="14"/>
                <w:szCs w:val="14"/>
              </w:rPr>
            </w:pPr>
            <w:r>
              <w:rPr>
                <w:b/>
                <w:color w:val="auto"/>
                <w:sz w:val="14"/>
                <w:szCs w:val="14"/>
              </w:rPr>
              <w:t>Apr</w:t>
            </w:r>
          </w:p>
        </w:tc>
        <w:tc>
          <w:tcPr>
            <w:tcW w:w="716" w:type="dxa"/>
            <w:tcBorders>
              <w:top w:val="single" w:sz="4" w:space="0" w:color="auto"/>
              <w:bottom w:val="single" w:sz="12" w:space="0" w:color="auto"/>
            </w:tcBorders>
            <w:shd w:val="clear" w:color="auto" w:fill="auto"/>
            <w:tcMar>
              <w:left w:w="43" w:type="dxa"/>
              <w:right w:w="43" w:type="dxa"/>
            </w:tcMar>
            <w:vAlign w:val="center"/>
          </w:tcPr>
          <w:p w:rsidR="00A70FC7" w:rsidRPr="00946E91" w:rsidRDefault="00A70FC7" w:rsidP="00A70FC7">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A70FC7" w:rsidRPr="00571DA8" w:rsidRDefault="00A70FC7" w:rsidP="00A70FC7">
            <w:pPr>
              <w:jc w:val="right"/>
              <w:rPr>
                <w:b/>
                <w:color w:val="auto"/>
                <w:sz w:val="14"/>
                <w:szCs w:val="14"/>
                <w:vertAlign w:val="superscript"/>
              </w:rPr>
            </w:pPr>
            <w:r>
              <w:rPr>
                <w:b/>
                <w:color w:val="auto"/>
                <w:sz w:val="14"/>
                <w:szCs w:val="14"/>
              </w:rPr>
              <w:t>Jun</w:t>
            </w:r>
            <w:r w:rsidR="00CA2420">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A70FC7" w:rsidRPr="00CA2420" w:rsidRDefault="00CA2420" w:rsidP="00A70FC7">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(208,786)</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(88,063)</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(37,056)</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(94,002)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(186,280)</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(161,005)</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603,425</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718,265</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733,477</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709,474</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699,668</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67,102</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75,830</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67,639</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64,190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56,997</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60,085</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181,346</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273,963</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252,942</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242,180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210,303</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223,164</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121,658</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127,725</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180,317</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170,025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180,153</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184,507</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3,574</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7,953</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9,242</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9,743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3,325</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2,820</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970</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2,002</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1,502</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1,329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569</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1,562</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221,967</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224,184</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215,474</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215,640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211,421</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220,950</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6,808</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6,609</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6,360</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6,366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6,466</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6,580</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812,211</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806,328</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770,533</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803,476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855,514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860,673</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309,856</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323,672</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383,613</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400,220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411,686</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415,005</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487,075</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469,981</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375,546</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402,430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431,904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433,920</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2,409</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1,238</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1,042</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797</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1,607</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1,384</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12,871</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11,437</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10,332</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10,317</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10,365</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1,510,675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1,510,675</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1,291,602</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1,375,059</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1,540,134</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1,440,856</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331,789</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360,795</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383,837</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476,962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384,594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387,181</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1,155,088</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908,758</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987,390</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1,059,245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1,316,404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1,047,129</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23,799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23,799</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22,048</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3,832</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3,928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139,588</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6,547</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8,649,304</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8,649,304</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8,971,930</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10,491,157</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11,293,746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11,572,532</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12,098,912</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9,079,627</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9,079,627</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9,364,930</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10,960,473</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11,670,608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12,028,084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12,521,704</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10,470,435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10,470,435</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10,733,461</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12,437,821</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13,182,667</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13,698,918</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14,175,931</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10,190,150</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10,190,150</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10,466,106</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12,150,400</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12,885,322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13,403,832</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13,893,909</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280,285</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267,355</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287,421</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297,345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295,087</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282,022</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1,390,808</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1,368,531</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1,477,348</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1,512,059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1,670,834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1,654,226</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1,390,808</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1,368,531</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1,477,348</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1,512,059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1,670,834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1,654,226</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(430,323)</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(393,000)</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(469,316)</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(376,862)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(455,552)</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(422,792)</w:t>
            </w:r>
          </w:p>
        </w:tc>
      </w:tr>
      <w:tr w:rsidR="00CA2420" w:rsidRPr="008245E8" w:rsidTr="00EF6543">
        <w:trPr>
          <w:trHeight w:val="363"/>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627,236</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636,567</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600,450</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710,771</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720,512</w:t>
            </w:r>
          </w:p>
        </w:tc>
      </w:tr>
      <w:tr w:rsidR="008C1990" w:rsidRPr="008245E8" w:rsidTr="00EF6543">
        <w:trPr>
          <w:trHeight w:val="245"/>
        </w:trPr>
        <w:tc>
          <w:tcPr>
            <w:tcW w:w="2928" w:type="dxa"/>
            <w:tcBorders>
              <w:top w:val="nil"/>
              <w:left w:val="nil"/>
              <w:bottom w:val="nil"/>
              <w:right w:val="nil"/>
            </w:tcBorders>
            <w:shd w:val="clear" w:color="auto" w:fill="auto"/>
            <w:noWrap/>
            <w:vAlign w:val="center"/>
            <w:hideMark/>
          </w:tcPr>
          <w:p w:rsidR="008C1990" w:rsidRPr="008245E8" w:rsidRDefault="008C1990" w:rsidP="008C1990">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1990" w:rsidRDefault="008C1990" w:rsidP="008C1990">
            <w:pPr>
              <w:jc w:val="right"/>
              <w:rPr>
                <w:i/>
                <w:iCs/>
                <w:sz w:val="14"/>
                <w:szCs w:val="14"/>
              </w:rPr>
            </w:pPr>
            <w:r>
              <w:rPr>
                <w:i/>
                <w:iCs/>
                <w:sz w:val="14"/>
                <w:szCs w:val="14"/>
              </w:rPr>
              <w:t>..</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627,236</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636,567</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600,450</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710,771</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718,014</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720,512</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1,057,559</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1,029,567</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1,069,767</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1,087,633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1,173,566</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1,143,304</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1,050,685</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1,022,639</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1,062,894</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1,080,710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1,166,699</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1,136,385</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6,874</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6,927</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6,873</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6,923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6,868</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6,919</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8,602,896</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8,485,127</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9,075,610</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9,098,479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9,257,016</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9,163,967</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91,901</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96,355</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107,764</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109,280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115,302</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114,146</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1,727,878</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1,716,221</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1,709,035</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1,709,470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1,666,031</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1,660,261</w:t>
            </w:r>
          </w:p>
        </w:tc>
      </w:tr>
      <w:tr w:rsidR="00CA2420" w:rsidRPr="008245E8" w:rsidTr="00EF6543">
        <w:trPr>
          <w:trHeight w:val="245"/>
        </w:trPr>
        <w:tc>
          <w:tcPr>
            <w:tcW w:w="2928" w:type="dxa"/>
            <w:tcBorders>
              <w:top w:val="nil"/>
              <w:left w:val="nil"/>
              <w:bottom w:val="nil"/>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5,374,610</w:t>
            </w:r>
          </w:p>
        </w:tc>
        <w:tc>
          <w:tcPr>
            <w:tcW w:w="864"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5,269,984</w:t>
            </w:r>
          </w:p>
        </w:tc>
        <w:tc>
          <w:tcPr>
            <w:tcW w:w="716"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5,695,108</w:t>
            </w:r>
          </w:p>
        </w:tc>
        <w:tc>
          <w:tcPr>
            <w:tcW w:w="716"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5,717,462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5,933,586</w:t>
            </w:r>
          </w:p>
        </w:tc>
        <w:tc>
          <w:tcPr>
            <w:tcW w:w="81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5,845,942</w:t>
            </w:r>
          </w:p>
        </w:tc>
      </w:tr>
      <w:tr w:rsidR="00CA2420" w:rsidRPr="008245E8" w:rsidTr="00EF6543">
        <w:trPr>
          <w:trHeight w:val="245"/>
        </w:trPr>
        <w:tc>
          <w:tcPr>
            <w:tcW w:w="2928" w:type="dxa"/>
            <w:tcBorders>
              <w:top w:val="nil"/>
              <w:left w:val="nil"/>
              <w:bottom w:val="single" w:sz="12" w:space="0" w:color="auto"/>
              <w:right w:val="nil"/>
            </w:tcBorders>
            <w:shd w:val="clear" w:color="auto" w:fill="auto"/>
            <w:noWrap/>
            <w:vAlign w:val="center"/>
            <w:hideMark/>
          </w:tcPr>
          <w:p w:rsidR="00CA2420" w:rsidRPr="008245E8" w:rsidRDefault="00CA2420" w:rsidP="00CA2420">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1,408,507</w:t>
            </w:r>
          </w:p>
        </w:tc>
        <w:tc>
          <w:tcPr>
            <w:tcW w:w="864"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1,402,568</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1,563,703</w:t>
            </w:r>
          </w:p>
        </w:tc>
        <w:tc>
          <w:tcPr>
            <w:tcW w:w="716"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1,562,266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1,543,618</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792"/>
        <w:gridCol w:w="810"/>
        <w:gridCol w:w="783"/>
        <w:gridCol w:w="747"/>
        <w:gridCol w:w="720"/>
      </w:tblGrid>
      <w:tr w:rsidR="00D118D7" w:rsidRPr="00E5171C" w:rsidTr="003225BB">
        <w:trPr>
          <w:trHeight w:val="245"/>
        </w:trPr>
        <w:tc>
          <w:tcPr>
            <w:tcW w:w="10080" w:type="dxa"/>
            <w:gridSpan w:val="10"/>
            <w:tcBorders>
              <w:top w:val="nil"/>
              <w:left w:val="nil"/>
              <w:bottom w:val="nil"/>
              <w:right w:val="nil"/>
            </w:tcBorders>
            <w:shd w:val="clear" w:color="auto" w:fill="auto"/>
            <w:noWrap/>
            <w:vAlign w:val="bottom"/>
            <w:hideMark/>
          </w:tcPr>
          <w:p w:rsidR="00D118D7" w:rsidRPr="00E5171C" w:rsidRDefault="00D118D7" w:rsidP="00D118D7">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D118D7" w:rsidRPr="00E5171C" w:rsidTr="003225BB">
        <w:trPr>
          <w:trHeight w:val="245"/>
        </w:trPr>
        <w:tc>
          <w:tcPr>
            <w:tcW w:w="10080" w:type="dxa"/>
            <w:gridSpan w:val="10"/>
            <w:tcBorders>
              <w:top w:val="nil"/>
              <w:left w:val="nil"/>
              <w:bottom w:val="single" w:sz="12" w:space="0" w:color="auto"/>
              <w:right w:val="nil"/>
            </w:tcBorders>
            <w:shd w:val="clear" w:color="auto" w:fill="auto"/>
            <w:vAlign w:val="bottom"/>
            <w:hideMark/>
          </w:tcPr>
          <w:p w:rsidR="00D118D7" w:rsidRPr="00E5171C" w:rsidRDefault="00D118D7" w:rsidP="00D118D7">
            <w:pPr>
              <w:jc w:val="right"/>
              <w:rPr>
                <w:color w:val="auto"/>
                <w:szCs w:val="16"/>
              </w:rPr>
            </w:pPr>
            <w:r w:rsidRPr="00E5171C">
              <w:rPr>
                <w:color w:val="auto"/>
                <w:szCs w:val="16"/>
              </w:rPr>
              <w:t>(Million Rupees)</w:t>
            </w:r>
          </w:p>
        </w:tc>
      </w:tr>
      <w:tr w:rsidR="00D118D7" w:rsidRPr="00E5171C" w:rsidTr="00D8784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D118D7" w:rsidRPr="00E5171C" w:rsidRDefault="00D118D7" w:rsidP="00D118D7">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D118D7" w:rsidRPr="002D5FD9" w:rsidRDefault="00D118D7" w:rsidP="00D118D7">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D118D7" w:rsidRPr="002D5FD9" w:rsidRDefault="00D118D7" w:rsidP="00D118D7">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D118D7" w:rsidRPr="002D5FD9" w:rsidRDefault="00D118D7" w:rsidP="00D118D7">
            <w:pPr>
              <w:jc w:val="right"/>
              <w:rPr>
                <w:b/>
                <w:bCs/>
                <w:szCs w:val="16"/>
              </w:rPr>
            </w:pPr>
            <w:r>
              <w:rPr>
                <w:b/>
                <w:bCs/>
                <w:szCs w:val="16"/>
              </w:rPr>
              <w:t>FY20</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rsidR="00D118D7" w:rsidRPr="00E5171C" w:rsidRDefault="00D118D7" w:rsidP="00D118D7">
            <w:pPr>
              <w:rPr>
                <w:b/>
                <w:bCs/>
                <w:color w:val="auto"/>
                <w:szCs w:val="16"/>
              </w:rPr>
            </w:pPr>
            <w:r>
              <w:rPr>
                <w:b/>
                <w:bCs/>
                <w:color w:val="auto"/>
                <w:szCs w:val="16"/>
              </w:rPr>
              <w:t>2020</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D118D7" w:rsidRPr="00E5171C" w:rsidRDefault="00D118D7" w:rsidP="00D118D7">
            <w:pPr>
              <w:rPr>
                <w:b/>
                <w:bCs/>
                <w:color w:val="auto"/>
                <w:szCs w:val="16"/>
              </w:rPr>
            </w:pPr>
            <w:r>
              <w:rPr>
                <w:b/>
                <w:bCs/>
                <w:color w:val="auto"/>
                <w:szCs w:val="16"/>
              </w:rPr>
              <w:t>2021</w:t>
            </w:r>
          </w:p>
        </w:tc>
      </w:tr>
      <w:tr w:rsidR="00A70FC7" w:rsidRPr="00E5171C" w:rsidTr="00D8784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A70FC7" w:rsidRPr="00E5171C" w:rsidRDefault="00A70FC7" w:rsidP="00A70FC7">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Jun</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CA2420" w:rsidP="00A70FC7">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946E91" w:rsidRDefault="00A70FC7" w:rsidP="00A70FC7">
            <w:pPr>
              <w:jc w:val="right"/>
              <w:rPr>
                <w:b/>
                <w:color w:val="auto"/>
                <w:sz w:val="14"/>
                <w:szCs w:val="14"/>
              </w:rPr>
            </w:pPr>
            <w:r>
              <w:rPr>
                <w:b/>
                <w:color w:val="auto"/>
                <w:sz w:val="14"/>
                <w:szCs w:val="14"/>
              </w:rPr>
              <w:t>Apr</w:t>
            </w:r>
          </w:p>
        </w:tc>
        <w:tc>
          <w:tcPr>
            <w:tcW w:w="783" w:type="dxa"/>
            <w:tcBorders>
              <w:top w:val="single" w:sz="4" w:space="0" w:color="auto"/>
              <w:bottom w:val="single" w:sz="12" w:space="0" w:color="auto"/>
            </w:tcBorders>
            <w:shd w:val="clear" w:color="auto" w:fill="auto"/>
            <w:tcMar>
              <w:left w:w="43" w:type="dxa"/>
              <w:right w:w="43" w:type="dxa"/>
            </w:tcMar>
            <w:vAlign w:val="center"/>
          </w:tcPr>
          <w:p w:rsidR="00A70FC7" w:rsidRPr="00946E91" w:rsidRDefault="00A70FC7" w:rsidP="00A70FC7">
            <w:pPr>
              <w:jc w:val="right"/>
              <w:rPr>
                <w:b/>
                <w:color w:val="auto"/>
                <w:sz w:val="14"/>
                <w:szCs w:val="14"/>
              </w:rPr>
            </w:pPr>
            <w:r>
              <w:rPr>
                <w:b/>
                <w:color w:val="auto"/>
                <w:sz w:val="14"/>
                <w:szCs w:val="14"/>
              </w:rPr>
              <w:t>May</w:t>
            </w:r>
          </w:p>
        </w:tc>
        <w:tc>
          <w:tcPr>
            <w:tcW w:w="747" w:type="dxa"/>
            <w:tcBorders>
              <w:top w:val="single" w:sz="4" w:space="0" w:color="auto"/>
              <w:bottom w:val="single" w:sz="12" w:space="0" w:color="auto"/>
            </w:tcBorders>
            <w:shd w:val="clear" w:color="auto" w:fill="auto"/>
            <w:tcMar>
              <w:left w:w="43" w:type="dxa"/>
              <w:right w:w="43" w:type="dxa"/>
            </w:tcMar>
            <w:vAlign w:val="center"/>
          </w:tcPr>
          <w:p w:rsidR="00A70FC7" w:rsidRPr="00571DA8" w:rsidRDefault="00A70FC7" w:rsidP="00A70FC7">
            <w:pPr>
              <w:jc w:val="right"/>
              <w:rPr>
                <w:b/>
                <w:color w:val="auto"/>
                <w:sz w:val="14"/>
                <w:szCs w:val="14"/>
                <w:vertAlign w:val="superscript"/>
              </w:rPr>
            </w:pPr>
            <w:r>
              <w:rPr>
                <w:b/>
                <w:color w:val="auto"/>
                <w:sz w:val="14"/>
                <w:szCs w:val="14"/>
              </w:rPr>
              <w:t>Jun</w:t>
            </w:r>
            <w:r w:rsidR="00CA2420">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A70FC7" w:rsidRPr="00CA2420" w:rsidRDefault="00CA2420" w:rsidP="00A70FC7">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1,771,900</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2,147,741</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2,830,079</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3,626,736</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3,079,517</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3,575,713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14,499,736</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14,100,527</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15,400,692</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15,573,371</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16,815,542</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16,285,295</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11,077,237</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10,739,532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11,921,664</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12,043,085</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12,927,354</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12,607,353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369,567</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239,379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349,562</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284,505</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375,141</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438,128</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543,548</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534,292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502,817</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500,196</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624,895</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655,675</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3,182,727</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3,014,168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3,445,767</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3,479,159</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3,822,533</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3,566,013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6,981,395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6,951,692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7,623,519</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7,779,226</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8,104,785</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7,947,538</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3,422,499</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3,360,995</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3,479,027</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3,530,285</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3,888,189</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3,677,941</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78,927</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81,822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88,437</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87,379</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131,316</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92,192</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591,289</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605,822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663,514</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697,775</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696,136</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702,194</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992,225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1,014,819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1,090,746</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1,117,302</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1,301,906</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1,191,140</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1,760,058</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1,658,533</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1,636,330</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1,627,829</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1,758,831</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1,692,415</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18</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14</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15</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39,072</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38,991</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40,432</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40,951</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40,843</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40,592</w:t>
            </w:r>
          </w:p>
        </w:tc>
      </w:tr>
      <w:tr w:rsidR="00CA2420" w:rsidRPr="00E5171C" w:rsidTr="00D8784E">
        <w:trPr>
          <w:trHeight w:val="245"/>
        </w:trPr>
        <w:tc>
          <w:tcPr>
            <w:tcW w:w="3076" w:type="dxa"/>
            <w:tcBorders>
              <w:top w:val="nil"/>
              <w:left w:val="nil"/>
              <w:bottom w:val="nil"/>
              <w:right w:val="nil"/>
            </w:tcBorders>
            <w:shd w:val="clear" w:color="auto" w:fill="auto"/>
            <w:vAlign w:val="center"/>
            <w:hideMark/>
          </w:tcPr>
          <w:p w:rsidR="00CA2420" w:rsidRPr="00E5171C" w:rsidRDefault="00CA2420" w:rsidP="00CA2420">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i/>
                <w:iCs/>
                <w:sz w:val="14"/>
                <w:szCs w:val="14"/>
              </w:rPr>
            </w:pPr>
            <w:r>
              <w:rPr>
                <w:i/>
                <w:iCs/>
                <w:sz w:val="14"/>
                <w:szCs w:val="14"/>
              </w:rPr>
              <w:t>20,306</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20,178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i/>
                <w:iCs/>
                <w:sz w:val="14"/>
                <w:szCs w:val="14"/>
              </w:rPr>
            </w:pPr>
            <w:r>
              <w:rPr>
                <w:i/>
                <w:iCs/>
                <w:sz w:val="14"/>
                <w:szCs w:val="14"/>
              </w:rPr>
              <w:t>21,972</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22,077</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22,014</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i/>
                <w:iCs/>
                <w:sz w:val="14"/>
                <w:szCs w:val="14"/>
              </w:rPr>
            </w:pPr>
            <w:r>
              <w:rPr>
                <w:i/>
                <w:iCs/>
                <w:sz w:val="14"/>
                <w:szCs w:val="14"/>
              </w:rPr>
              <w:t>22,061</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28,145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36,521</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57,086</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46,087</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29,582</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61,517</w:t>
            </w:r>
          </w:p>
        </w:tc>
      </w:tr>
      <w:tr w:rsidR="00CA2420" w:rsidRPr="00E5171C" w:rsidTr="00D8784E">
        <w:trPr>
          <w:trHeight w:val="245"/>
        </w:trPr>
        <w:tc>
          <w:tcPr>
            <w:tcW w:w="3076" w:type="dxa"/>
            <w:tcBorders>
              <w:top w:val="nil"/>
              <w:left w:val="nil"/>
              <w:bottom w:val="nil"/>
              <w:right w:val="nil"/>
            </w:tcBorders>
            <w:shd w:val="clear" w:color="auto" w:fill="auto"/>
            <w:vAlign w:val="center"/>
            <w:hideMark/>
          </w:tcPr>
          <w:p w:rsidR="00CA2420" w:rsidRPr="00E5171C" w:rsidRDefault="00CA2420" w:rsidP="00CA2420">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i/>
                <w:iCs/>
                <w:sz w:val="14"/>
                <w:szCs w:val="14"/>
              </w:rPr>
            </w:pPr>
            <w:r>
              <w:rPr>
                <w:i/>
                <w:iCs/>
                <w:sz w:val="14"/>
                <w:szCs w:val="14"/>
              </w:rPr>
              <w:t>19,990</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28,366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i/>
                <w:iCs/>
                <w:sz w:val="14"/>
                <w:szCs w:val="14"/>
              </w:rPr>
            </w:pPr>
            <w:r>
              <w:rPr>
                <w:i/>
                <w:iCs/>
                <w:sz w:val="14"/>
                <w:szCs w:val="14"/>
              </w:rPr>
              <w:t>49,113</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38,114</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i/>
                <w:iCs/>
                <w:sz w:val="14"/>
                <w:szCs w:val="14"/>
              </w:rPr>
            </w:pPr>
            <w:r>
              <w:rPr>
                <w:i/>
                <w:iCs/>
                <w:sz w:val="14"/>
                <w:szCs w:val="14"/>
              </w:rPr>
              <w:t>21,609</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i/>
                <w:iCs/>
                <w:sz w:val="14"/>
                <w:szCs w:val="14"/>
              </w:rPr>
            </w:pPr>
            <w:r>
              <w:rPr>
                <w:i/>
                <w:iCs/>
                <w:sz w:val="14"/>
                <w:szCs w:val="14"/>
              </w:rPr>
              <w:t>53,454</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6,447</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4,943</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7,021</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5,441</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4,771</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4,229</w:t>
            </w:r>
          </w:p>
        </w:tc>
      </w:tr>
      <w:tr w:rsidR="008C1990" w:rsidRPr="00E5171C" w:rsidTr="00D8784E">
        <w:trPr>
          <w:trHeight w:val="245"/>
        </w:trPr>
        <w:tc>
          <w:tcPr>
            <w:tcW w:w="3076" w:type="dxa"/>
            <w:tcBorders>
              <w:top w:val="nil"/>
              <w:left w:val="nil"/>
              <w:bottom w:val="nil"/>
              <w:right w:val="nil"/>
            </w:tcBorders>
            <w:shd w:val="clear" w:color="auto" w:fill="auto"/>
            <w:vAlign w:val="center"/>
            <w:hideMark/>
          </w:tcPr>
          <w:p w:rsidR="008C1990" w:rsidRPr="00E5171C" w:rsidRDefault="008C1990" w:rsidP="008C1990">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C1990" w:rsidRDefault="008C1990" w:rsidP="008C1990">
            <w:pPr>
              <w:jc w:val="right"/>
              <w:rPr>
                <w:i/>
                <w:iCs/>
                <w:sz w:val="14"/>
                <w:szCs w:val="14"/>
              </w:rPr>
            </w:pPr>
            <w:r>
              <w:rPr>
                <w:i/>
                <w:iCs/>
                <w:sz w:val="14"/>
                <w:szCs w:val="14"/>
              </w:rPr>
              <w:t>..</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27</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53</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55</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35</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63</w:t>
            </w:r>
          </w:p>
        </w:tc>
      </w:tr>
      <w:tr w:rsidR="00CA2420" w:rsidRPr="00E5171C" w:rsidTr="00D8784E">
        <w:trPr>
          <w:trHeight w:val="245"/>
        </w:trPr>
        <w:tc>
          <w:tcPr>
            <w:tcW w:w="3076" w:type="dxa"/>
            <w:tcBorders>
              <w:top w:val="nil"/>
              <w:left w:val="nil"/>
              <w:bottom w:val="nil"/>
              <w:right w:val="nil"/>
            </w:tcBorders>
            <w:shd w:val="clear" w:color="auto" w:fill="auto"/>
            <w:vAlign w:val="center"/>
            <w:hideMark/>
          </w:tcPr>
          <w:p w:rsidR="00CA2420" w:rsidRPr="00E5171C" w:rsidRDefault="00CA2420" w:rsidP="00CA2420">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2,059,473</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2,059,473</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2,047,754</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2,057,779</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2,076,940</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2,109,920</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2,126,305</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651,811</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651,766</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666,303</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665,341</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666,580</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669,556</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600,195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600,195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603,127</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642,458</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660,207</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691,628</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696,253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484,743</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486,672</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536,026</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532,637</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532,032</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534,173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322,725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322,725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306,189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sz w:val="14"/>
                <w:szCs w:val="14"/>
              </w:rPr>
            </w:pPr>
            <w:r>
              <w:rPr>
                <w:sz w:val="14"/>
                <w:szCs w:val="14"/>
              </w:rPr>
              <w:t>212,992</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218,756</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sz w:val="14"/>
                <w:szCs w:val="14"/>
              </w:rPr>
            </w:pPr>
            <w:r>
              <w:rPr>
                <w:sz w:val="14"/>
                <w:szCs w:val="14"/>
              </w:rPr>
              <w:t>219,680</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sz w:val="14"/>
                <w:szCs w:val="14"/>
              </w:rPr>
            </w:pPr>
            <w:r>
              <w:rPr>
                <w:sz w:val="14"/>
                <w:szCs w:val="14"/>
              </w:rPr>
              <w:t>226,323</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149,325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149,325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284,130</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511,715</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468,868</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403,695</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449,125</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2,082,865</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2,082,865</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2,058,309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2,345,294</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2,294,069</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2,288,859</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2,379,329</w:t>
            </w:r>
          </w:p>
        </w:tc>
      </w:tr>
      <w:tr w:rsidR="00CA2420" w:rsidRPr="00E5171C" w:rsidTr="00D8784E">
        <w:trPr>
          <w:trHeight w:val="245"/>
        </w:trPr>
        <w:tc>
          <w:tcPr>
            <w:tcW w:w="3076" w:type="dxa"/>
            <w:tcBorders>
              <w:top w:val="nil"/>
              <w:left w:val="nil"/>
              <w:bottom w:val="nil"/>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1,809,106</w:t>
            </w:r>
          </w:p>
        </w:tc>
        <w:tc>
          <w:tcPr>
            <w:tcW w:w="792"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1,780,929</w:t>
            </w:r>
          </w:p>
        </w:tc>
        <w:tc>
          <w:tcPr>
            <w:tcW w:w="810" w:type="dxa"/>
            <w:tcBorders>
              <w:top w:val="nil"/>
              <w:left w:val="nil"/>
              <w:bottom w:val="nil"/>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1,872,817</w:t>
            </w:r>
          </w:p>
        </w:tc>
        <w:tc>
          <w:tcPr>
            <w:tcW w:w="783"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1,881,178</w:t>
            </w:r>
          </w:p>
        </w:tc>
        <w:tc>
          <w:tcPr>
            <w:tcW w:w="747" w:type="dxa"/>
            <w:tcBorders>
              <w:top w:val="nil"/>
              <w:left w:val="nil"/>
              <w:bottom w:val="nil"/>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1,910,014</w:t>
            </w:r>
          </w:p>
        </w:tc>
        <w:tc>
          <w:tcPr>
            <w:tcW w:w="720" w:type="dxa"/>
            <w:tcBorders>
              <w:top w:val="nil"/>
              <w:left w:val="nil"/>
              <w:bottom w:val="nil"/>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1,941,030</w:t>
            </w:r>
          </w:p>
        </w:tc>
      </w:tr>
      <w:tr w:rsidR="00CA2420" w:rsidRPr="00E5171C" w:rsidTr="00D8784E">
        <w:trPr>
          <w:trHeight w:val="245"/>
        </w:trPr>
        <w:tc>
          <w:tcPr>
            <w:tcW w:w="3076" w:type="dxa"/>
            <w:tcBorders>
              <w:top w:val="nil"/>
              <w:left w:val="nil"/>
              <w:bottom w:val="single" w:sz="12" w:space="0" w:color="auto"/>
              <w:right w:val="nil"/>
            </w:tcBorders>
            <w:shd w:val="clear" w:color="auto" w:fill="auto"/>
            <w:noWrap/>
            <w:vAlign w:val="center"/>
            <w:hideMark/>
          </w:tcPr>
          <w:p w:rsidR="00CA2420" w:rsidRPr="00E5171C" w:rsidRDefault="00CA2420" w:rsidP="00CA2420">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(124,433)</w:t>
            </w:r>
          </w:p>
        </w:tc>
        <w:tc>
          <w:tcPr>
            <w:tcW w:w="792"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6,750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A2420" w:rsidRDefault="00CA2420" w:rsidP="00CA2420">
            <w:pPr>
              <w:jc w:val="right"/>
              <w:rPr>
                <w:b/>
                <w:bCs/>
                <w:sz w:val="14"/>
                <w:szCs w:val="14"/>
              </w:rPr>
            </w:pPr>
            <w:r>
              <w:rPr>
                <w:b/>
                <w:bCs/>
                <w:sz w:val="14"/>
                <w:szCs w:val="14"/>
              </w:rPr>
              <w:t>39,237</w:t>
            </w:r>
          </w:p>
        </w:tc>
        <w:tc>
          <w:tcPr>
            <w:tcW w:w="783"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55,976</w:t>
            </w:r>
          </w:p>
        </w:tc>
        <w:tc>
          <w:tcPr>
            <w:tcW w:w="747" w:type="dxa"/>
            <w:tcBorders>
              <w:top w:val="nil"/>
              <w:left w:val="nil"/>
              <w:bottom w:val="single" w:sz="12" w:space="0" w:color="auto"/>
              <w:right w:val="nil"/>
            </w:tcBorders>
            <w:shd w:val="clear" w:color="auto" w:fill="auto"/>
            <w:tcMar>
              <w:left w:w="43" w:type="dxa"/>
              <w:right w:w="43" w:type="dxa"/>
            </w:tcMar>
            <w:vAlign w:val="center"/>
          </w:tcPr>
          <w:p w:rsidR="00CA2420" w:rsidRDefault="00CA2420" w:rsidP="00CA2420">
            <w:pPr>
              <w:jc w:val="right"/>
              <w:rPr>
                <w:b/>
                <w:bCs/>
                <w:sz w:val="14"/>
                <w:szCs w:val="14"/>
              </w:rPr>
            </w:pPr>
            <w:r>
              <w:rPr>
                <w:b/>
                <w:bCs/>
                <w:sz w:val="14"/>
                <w:szCs w:val="14"/>
              </w:rPr>
              <w:t>24,850</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A2420" w:rsidRDefault="00CA2420" w:rsidP="00CA2420">
            <w:pPr>
              <w:jc w:val="right"/>
              <w:rPr>
                <w:b/>
                <w:bCs/>
                <w:sz w:val="14"/>
                <w:szCs w:val="14"/>
              </w:rPr>
            </w:pPr>
            <w:r>
              <w:rPr>
                <w:b/>
                <w:bCs/>
                <w:sz w:val="14"/>
                <w:szCs w:val="14"/>
              </w:rPr>
              <w:t>10,827</w:t>
            </w:r>
          </w:p>
        </w:tc>
      </w:tr>
      <w:tr w:rsidR="00A70FC7" w:rsidRPr="00E5171C"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rsidR="00A70FC7" w:rsidRDefault="00A70FC7" w:rsidP="00A70FC7">
            <w:pPr>
              <w:jc w:val="right"/>
              <w:rPr>
                <w:b/>
                <w:bCs/>
                <w:color w:val="auto"/>
                <w:sz w:val="14"/>
                <w:szCs w:val="14"/>
              </w:rPr>
            </w:pPr>
            <w:r>
              <w:rPr>
                <w:sz w:val="14"/>
                <w:szCs w:val="14"/>
              </w:rPr>
              <w:t>Source: Statistics &amp; Data Warehouse Department SBP</w:t>
            </w:r>
          </w:p>
          <w:p w:rsidR="00A70FC7" w:rsidRPr="006A1E59" w:rsidRDefault="00A70FC7" w:rsidP="00A70FC7">
            <w:pPr>
              <w:jc w:val="left"/>
              <w:rPr>
                <w:rFonts w:ascii="Calibri" w:hAnsi="Calibri"/>
                <w:sz w:val="14"/>
                <w:szCs w:val="14"/>
              </w:rPr>
            </w:pPr>
            <w:r w:rsidRPr="006A1E59">
              <w:rPr>
                <w:b/>
                <w:bCs/>
                <w:color w:val="auto"/>
                <w:sz w:val="14"/>
                <w:szCs w:val="14"/>
              </w:rPr>
              <w:t xml:space="preserve">Note:  </w:t>
            </w:r>
          </w:p>
        </w:tc>
      </w:tr>
      <w:tr w:rsidR="00A70FC7" w:rsidRPr="00E5171C" w:rsidTr="003225BB">
        <w:trPr>
          <w:trHeight w:val="942"/>
        </w:trPr>
        <w:tc>
          <w:tcPr>
            <w:tcW w:w="10080" w:type="dxa"/>
            <w:gridSpan w:val="10"/>
            <w:tcBorders>
              <w:top w:val="nil"/>
              <w:left w:val="nil"/>
              <w:bottom w:val="nil"/>
              <w:right w:val="nil"/>
            </w:tcBorders>
            <w:shd w:val="clear" w:color="auto" w:fill="auto"/>
            <w:noWrap/>
            <w:vAlign w:val="center"/>
            <w:hideMark/>
          </w:tcPr>
          <w:p w:rsidR="00A70FC7" w:rsidRPr="006A1E59" w:rsidRDefault="00A70FC7" w:rsidP="00A70FC7">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w:t>
            </w:r>
            <w:proofErr w:type="gramStart"/>
            <w:r w:rsidRPr="006A1E59">
              <w:rPr>
                <w:color w:val="auto"/>
                <w:sz w:val="14"/>
                <w:szCs w:val="14"/>
              </w:rPr>
              <w:t>has</w:t>
            </w:r>
            <w:r>
              <w:rPr>
                <w:color w:val="auto"/>
                <w:sz w:val="14"/>
                <w:szCs w:val="14"/>
              </w:rPr>
              <w:t xml:space="preserve"> </w:t>
            </w:r>
            <w:r w:rsidRPr="006A1E59">
              <w:rPr>
                <w:color w:val="auto"/>
                <w:sz w:val="14"/>
                <w:szCs w:val="14"/>
              </w:rPr>
              <w:t>been enhanced</w:t>
            </w:r>
            <w:proofErr w:type="gramEnd"/>
            <w:r w:rsidRPr="006A1E59">
              <w:rPr>
                <w:color w:val="auto"/>
                <w:sz w:val="14"/>
                <w:szCs w:val="14"/>
              </w:rPr>
              <w:t xml:space="preserve">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A70FC7" w:rsidRPr="00B1199F" w:rsidRDefault="00A70FC7" w:rsidP="00A70FC7">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w:t>
            </w:r>
            <w:proofErr w:type="gramStart"/>
            <w:r w:rsidRPr="00B1199F">
              <w:rPr>
                <w:color w:val="auto"/>
                <w:sz w:val="14"/>
                <w:szCs w:val="14"/>
              </w:rPr>
              <w:t>have been revised</w:t>
            </w:r>
            <w:proofErr w:type="gramEnd"/>
            <w:r w:rsidRPr="00B1199F">
              <w:rPr>
                <w:color w:val="auto"/>
                <w:sz w:val="14"/>
                <w:szCs w:val="14"/>
              </w:rPr>
              <w:t xml:space="preserve">.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w:t>
            </w:r>
            <w:proofErr w:type="gramStart"/>
            <w:r w:rsidRPr="00B1199F">
              <w:rPr>
                <w:color w:val="auto"/>
                <w:sz w:val="14"/>
                <w:szCs w:val="14"/>
              </w:rPr>
              <w:t>has been increased</w:t>
            </w:r>
            <w:proofErr w:type="gramEnd"/>
            <w:r w:rsidRPr="00B1199F">
              <w:rPr>
                <w:color w:val="auto"/>
                <w:sz w:val="14"/>
                <w:szCs w:val="14"/>
              </w:rPr>
              <w:t>. Details are available at:</w:t>
            </w:r>
            <w:r>
              <w:t xml:space="preserve"> </w:t>
            </w:r>
            <w:hyperlink r:id="rId11" w:history="1">
              <w:r w:rsidRPr="00B1199F">
                <w:rPr>
                  <w:rStyle w:val="Hyperlink"/>
                  <w:sz w:val="14"/>
                  <w:szCs w:val="14"/>
                </w:rPr>
                <w:t>http://www.sbp.org.pk/ecodata/MFSM_Other_Depository.pdf</w:t>
              </w:r>
            </w:hyperlink>
          </w:p>
          <w:p w:rsidR="00A70FC7" w:rsidRPr="006A1E59" w:rsidRDefault="00A70FC7" w:rsidP="00A70FC7">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A70FC7" w:rsidRPr="00B1199F" w:rsidRDefault="00A70FC7" w:rsidP="00A70FC7">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w:t>
            </w:r>
            <w:proofErr w:type="gramStart"/>
            <w:r w:rsidRPr="00B1199F">
              <w:rPr>
                <w:color w:val="auto"/>
                <w:sz w:val="14"/>
                <w:szCs w:val="14"/>
              </w:rPr>
              <w:t>has been reclassified</w:t>
            </w:r>
            <w:proofErr w:type="gramEnd"/>
            <w:r w:rsidRPr="00B1199F">
              <w:rPr>
                <w:color w:val="auto"/>
                <w:sz w:val="14"/>
                <w:szCs w:val="14"/>
              </w:rPr>
              <w:t xml:space="preserve">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A70FC7" w:rsidRPr="006A1E59" w:rsidRDefault="00A70FC7" w:rsidP="00A70FC7">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16"/>
        <w:gridCol w:w="810"/>
        <w:gridCol w:w="787"/>
        <w:gridCol w:w="853"/>
        <w:gridCol w:w="808"/>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37512" w:rsidRPr="002D5FD9" w:rsidTr="00D8784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137512" w:rsidRPr="002D5FD9" w:rsidRDefault="00137512" w:rsidP="005251D4">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rsidR="00137512" w:rsidRPr="002D5FD9" w:rsidRDefault="00137512" w:rsidP="005251D4">
            <w:pPr>
              <w:jc w:val="right"/>
              <w:rPr>
                <w:b/>
                <w:bCs/>
                <w:szCs w:val="16"/>
              </w:rPr>
            </w:pPr>
            <w:r>
              <w:rPr>
                <w:b/>
                <w:bCs/>
                <w:szCs w:val="16"/>
              </w:rPr>
              <w:t>FY18</w:t>
            </w:r>
          </w:p>
        </w:tc>
        <w:tc>
          <w:tcPr>
            <w:tcW w:w="812" w:type="dxa"/>
            <w:vMerge w:val="restart"/>
            <w:tcBorders>
              <w:top w:val="nil"/>
              <w:left w:val="single" w:sz="4" w:space="0" w:color="auto"/>
              <w:right w:val="single" w:sz="4" w:space="0" w:color="auto"/>
            </w:tcBorders>
            <w:shd w:val="clear" w:color="auto" w:fill="auto"/>
            <w:vAlign w:val="center"/>
          </w:tcPr>
          <w:p w:rsidR="00137512" w:rsidRPr="002D5FD9" w:rsidRDefault="00137512" w:rsidP="005251D4">
            <w:pPr>
              <w:jc w:val="right"/>
              <w:rPr>
                <w:b/>
                <w:bCs/>
                <w:szCs w:val="16"/>
              </w:rPr>
            </w:pPr>
            <w:r>
              <w:rPr>
                <w:b/>
                <w:bCs/>
                <w:szCs w:val="16"/>
              </w:rPr>
              <w:t>FY19</w:t>
            </w:r>
          </w:p>
        </w:tc>
        <w:tc>
          <w:tcPr>
            <w:tcW w:w="811" w:type="dxa"/>
            <w:vMerge w:val="restart"/>
            <w:tcBorders>
              <w:top w:val="nil"/>
              <w:left w:val="single" w:sz="4" w:space="0" w:color="auto"/>
              <w:right w:val="single" w:sz="4" w:space="0" w:color="auto"/>
            </w:tcBorders>
            <w:shd w:val="clear" w:color="auto" w:fill="auto"/>
            <w:vAlign w:val="center"/>
          </w:tcPr>
          <w:p w:rsidR="00137512" w:rsidRPr="002D5FD9" w:rsidRDefault="00137512" w:rsidP="00C60409">
            <w:pPr>
              <w:jc w:val="right"/>
              <w:rPr>
                <w:b/>
                <w:bCs/>
                <w:szCs w:val="16"/>
              </w:rPr>
            </w:pPr>
            <w:r>
              <w:rPr>
                <w:b/>
                <w:bCs/>
                <w:szCs w:val="16"/>
              </w:rPr>
              <w:t>FY20</w:t>
            </w:r>
          </w:p>
        </w:tc>
        <w:tc>
          <w:tcPr>
            <w:tcW w:w="1476" w:type="dxa"/>
            <w:gridSpan w:val="2"/>
            <w:tcBorders>
              <w:top w:val="nil"/>
              <w:left w:val="single" w:sz="4" w:space="0" w:color="auto"/>
              <w:bottom w:val="single" w:sz="4" w:space="0" w:color="auto"/>
              <w:right w:val="single" w:sz="4" w:space="0" w:color="auto"/>
            </w:tcBorders>
            <w:shd w:val="clear" w:color="auto" w:fill="auto"/>
            <w:vAlign w:val="center"/>
          </w:tcPr>
          <w:p w:rsidR="00137512" w:rsidRPr="002D5FD9" w:rsidRDefault="00137512" w:rsidP="005251D4">
            <w:pPr>
              <w:rPr>
                <w:b/>
                <w:bCs/>
                <w:szCs w:val="16"/>
              </w:rPr>
            </w:pPr>
            <w:r>
              <w:rPr>
                <w:b/>
                <w:bCs/>
                <w:szCs w:val="16"/>
              </w:rPr>
              <w:t>2020</w:t>
            </w:r>
          </w:p>
        </w:tc>
        <w:tc>
          <w:tcPr>
            <w:tcW w:w="3258" w:type="dxa"/>
            <w:gridSpan w:val="4"/>
            <w:tcBorders>
              <w:top w:val="single" w:sz="12" w:space="0" w:color="auto"/>
              <w:left w:val="single" w:sz="4" w:space="0" w:color="auto"/>
              <w:bottom w:val="single" w:sz="4" w:space="0" w:color="auto"/>
              <w:right w:val="nil"/>
            </w:tcBorders>
            <w:shd w:val="clear" w:color="auto" w:fill="auto"/>
            <w:vAlign w:val="center"/>
          </w:tcPr>
          <w:p w:rsidR="00137512" w:rsidRPr="002D5FD9" w:rsidRDefault="00137512" w:rsidP="005251D4">
            <w:pPr>
              <w:rPr>
                <w:b/>
                <w:bCs/>
                <w:szCs w:val="16"/>
              </w:rPr>
            </w:pPr>
            <w:r>
              <w:rPr>
                <w:b/>
                <w:bCs/>
                <w:szCs w:val="16"/>
              </w:rPr>
              <w:t>2021</w:t>
            </w:r>
          </w:p>
        </w:tc>
      </w:tr>
      <w:tr w:rsidR="00A70FC7" w:rsidRPr="00414936" w:rsidTr="00D8784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A70FC7" w:rsidRPr="002D5FD9" w:rsidRDefault="00A70FC7" w:rsidP="00A70FC7">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A70FC7" w:rsidRPr="006619BF" w:rsidRDefault="00A70FC7" w:rsidP="00A70FC7">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rsidR="00A70FC7" w:rsidRPr="006619BF" w:rsidRDefault="00A70FC7" w:rsidP="00A70FC7">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rsidR="00A70FC7" w:rsidRPr="006619BF" w:rsidRDefault="00A70FC7" w:rsidP="00A70FC7">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rsidR="00A70FC7" w:rsidRPr="006619BF" w:rsidRDefault="00A70FC7" w:rsidP="00A70FC7">
            <w:pPr>
              <w:jc w:val="right"/>
              <w:rPr>
                <w:b/>
                <w:color w:val="auto"/>
                <w:sz w:val="14"/>
                <w:szCs w:val="14"/>
              </w:rPr>
            </w:pPr>
            <w:r>
              <w:rPr>
                <w:b/>
                <w:color w:val="auto"/>
                <w:sz w:val="14"/>
                <w:szCs w:val="14"/>
              </w:rPr>
              <w:t>Jun</w:t>
            </w:r>
          </w:p>
        </w:tc>
        <w:tc>
          <w:tcPr>
            <w:tcW w:w="716" w:type="dxa"/>
            <w:tcBorders>
              <w:top w:val="single" w:sz="4" w:space="0" w:color="auto"/>
              <w:bottom w:val="single" w:sz="12" w:space="0" w:color="auto"/>
              <w:right w:val="single" w:sz="4" w:space="0" w:color="auto"/>
            </w:tcBorders>
            <w:shd w:val="clear" w:color="auto" w:fill="auto"/>
            <w:vAlign w:val="center"/>
          </w:tcPr>
          <w:p w:rsidR="00A70FC7" w:rsidRPr="006619BF" w:rsidRDefault="00CA2420" w:rsidP="00A70FC7">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vAlign w:val="center"/>
            <w:hideMark/>
          </w:tcPr>
          <w:p w:rsidR="00A70FC7" w:rsidRPr="00946E91" w:rsidRDefault="00A70FC7" w:rsidP="00A70FC7">
            <w:pPr>
              <w:jc w:val="right"/>
              <w:rPr>
                <w:b/>
                <w:color w:val="auto"/>
                <w:sz w:val="14"/>
                <w:szCs w:val="14"/>
              </w:rPr>
            </w:pPr>
            <w:r>
              <w:rPr>
                <w:b/>
                <w:color w:val="auto"/>
                <w:sz w:val="14"/>
                <w:szCs w:val="14"/>
              </w:rPr>
              <w:t>Apr</w:t>
            </w:r>
          </w:p>
        </w:tc>
        <w:tc>
          <w:tcPr>
            <w:tcW w:w="787" w:type="dxa"/>
            <w:tcBorders>
              <w:top w:val="single" w:sz="4" w:space="0" w:color="auto"/>
              <w:bottom w:val="single" w:sz="12" w:space="0" w:color="auto"/>
            </w:tcBorders>
            <w:shd w:val="clear" w:color="auto" w:fill="auto"/>
            <w:vAlign w:val="center"/>
          </w:tcPr>
          <w:p w:rsidR="00A70FC7" w:rsidRPr="00946E91" w:rsidRDefault="00A70FC7" w:rsidP="00A70FC7">
            <w:pPr>
              <w:jc w:val="right"/>
              <w:rPr>
                <w:b/>
                <w:color w:val="auto"/>
                <w:sz w:val="14"/>
                <w:szCs w:val="14"/>
              </w:rPr>
            </w:pPr>
            <w:r>
              <w:rPr>
                <w:b/>
                <w:color w:val="auto"/>
                <w:sz w:val="14"/>
                <w:szCs w:val="14"/>
              </w:rPr>
              <w:t>May</w:t>
            </w:r>
          </w:p>
        </w:tc>
        <w:tc>
          <w:tcPr>
            <w:tcW w:w="853" w:type="dxa"/>
            <w:tcBorders>
              <w:top w:val="single" w:sz="4" w:space="0" w:color="auto"/>
              <w:bottom w:val="single" w:sz="12" w:space="0" w:color="auto"/>
            </w:tcBorders>
            <w:shd w:val="clear" w:color="auto" w:fill="auto"/>
            <w:vAlign w:val="center"/>
          </w:tcPr>
          <w:p w:rsidR="00A70FC7" w:rsidRPr="00DB0D5A" w:rsidRDefault="00A70FC7" w:rsidP="00A70FC7">
            <w:pPr>
              <w:jc w:val="right"/>
              <w:rPr>
                <w:b/>
                <w:color w:val="auto"/>
                <w:sz w:val="14"/>
                <w:szCs w:val="14"/>
                <w:vertAlign w:val="superscript"/>
              </w:rPr>
            </w:pPr>
            <w:r>
              <w:rPr>
                <w:b/>
                <w:color w:val="auto"/>
                <w:sz w:val="14"/>
                <w:szCs w:val="14"/>
              </w:rPr>
              <w:t>Jun</w:t>
            </w:r>
            <w:r w:rsidR="00DB0D5A">
              <w:rPr>
                <w:b/>
                <w:color w:val="auto"/>
                <w:sz w:val="14"/>
                <w:szCs w:val="14"/>
                <w:vertAlign w:val="superscript"/>
              </w:rPr>
              <w:t xml:space="preserve"> R</w:t>
            </w:r>
          </w:p>
        </w:tc>
        <w:tc>
          <w:tcPr>
            <w:tcW w:w="808" w:type="dxa"/>
            <w:tcBorders>
              <w:top w:val="single" w:sz="4" w:space="0" w:color="auto"/>
              <w:bottom w:val="single" w:sz="12" w:space="0" w:color="auto"/>
              <w:right w:val="nil"/>
            </w:tcBorders>
            <w:shd w:val="clear" w:color="auto" w:fill="auto"/>
            <w:vAlign w:val="center"/>
          </w:tcPr>
          <w:p w:rsidR="00A70FC7" w:rsidRPr="00CA2420" w:rsidRDefault="00CA2420" w:rsidP="00A70FC7">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257,804</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(833,736)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234,982</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234,982</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602,675</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1,123,118</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1,171,729</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1,317,228</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1,495,559</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2,562,079</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3,035,989</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4,011,152</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4,011,152</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4,217,831</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4,356,928</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4,480,505</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4,651,603</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4,914,929</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2,304,275</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3,869,725</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3,776,170</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3,776,170</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3,615,157</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3,233,809</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3,308,776</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3,334,375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3,419,371</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17,681,190</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20,839,912</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23,813,865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23,813,865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23,560,329</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24,951,998</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25,215,880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26,257,122</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26,124,538</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10,338,362</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12,490,626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15,185,307</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15,185,307</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15,049,861</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15,846,502</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16,087,856</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16,970,911</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16,930,690</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10,564,370</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12,953,916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15,833,527</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15,833,527</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15,702,673</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16,892,369</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17,044,669</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17,812,393</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17,835,833</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11,718,699</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15,187,246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17,789,288</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17,789,288</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17,760,659</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19,292,750</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20,090,689</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20,423,275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20,908,389</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1,154,329</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2,233,330</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1,955,761</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1,955,761</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2,057,986</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2,400,381</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3,046,020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2,610,882</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3,072,556</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(226,008)</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(463,289)</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(648,221)</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(648,221)</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(652,812)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(1,045,867)</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(956,813)</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(841,481)</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(905,143)</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652,076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569,012</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648,924</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648,924</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658,720</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603,244</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715,920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718,310</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720,808</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878,084</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1,032,301</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1,297,145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1,297,145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1,311,532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1,649,112</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1,672,734</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1,559,791</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1,625,951</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7,342,828</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8,349,286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8,628,559</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8,628,559</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8,510,468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9,105,496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9,128,024</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9,286,210</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9,193,848</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109,575</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103,389</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96,655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96,655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100,706</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113,347</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114,416</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119,656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119,115</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1,268,858</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1,581,258</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1,727,914</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1,727,914</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1,716,261</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1,709,066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1,709,506</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1,666,074</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1,660,279</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4,700,394</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5,224,698</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5,374,610</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5,374,610</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5,269,984</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5,695,108</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5,717,462</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5,933,586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5,845,942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1,264,000</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1,439,941</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1,429,380</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1,429,380</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1,423,518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1,587,974</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1,586,641</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1,566,895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1,568,512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15,754,775</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17,451,119</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20,651,333</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20,651,333</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20,521,620</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22,203,643</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22,466,797</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23,713,441</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23,567,209</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4,374,391</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4,935,435</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6,126,974</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6,126,974</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6,417,766</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6,799,179</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6,889,932</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6,894,266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7,278,222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8,735,016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9,472,216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11,078,692</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11,078,692</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10,740,982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11,923,899</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12,045,317</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12,929,585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12,609,609</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217,753</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230,225</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369,642</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369,642</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239,452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349,580</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284,519</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375,156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438,142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359,520</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383,870</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543,548</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543,548</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534,292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502,817</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500,196</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624,895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655,675</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2,503,579</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2,517,381</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3,182,885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3,182,885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3,014,327</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3,445,916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3,479,309</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3,822,684</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3,566,175</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5,654,163</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6,340,740</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6,982,617</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6,982,617</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6,952,910</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7,625,586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7,781,294</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8,106,850</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7,949,617</w:t>
            </w:r>
          </w:p>
        </w:tc>
      </w:tr>
      <w:tr w:rsidR="00DB0D5A" w:rsidRPr="002D5FD9" w:rsidTr="00D8784E">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2,645,353</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3,043,453</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3,445,649</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3,445,649</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3,362,855</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3,480,546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3,531,530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3,889,573</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3,679,360</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81,864</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99,689</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81,841</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81,841</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83,195</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89,330</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88,165</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132,085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93,097</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428,607</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494,185</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591,289</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591,289</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605,822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663,514</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697,775</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696,136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702,194</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862,865</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887,278</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992,225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992,225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1,014,819</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1,090,746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1,117,302</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1,301,906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1,191,140</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1,272,017</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1,562,300</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1,780,294</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1,780,294</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1,659,020</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1,636,956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1,628,288</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1,759,445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1,692,928</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18</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18</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13</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14</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14</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15</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3</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57,424</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67,332</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74,886</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74,886</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75,026</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77,738</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81,358</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82,219</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82,305</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19,530</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36,745</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39,072</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39,072</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38,991</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40,432</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40,951</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40,843</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40,592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12,876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19,053</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20,306</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20,306</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20,178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21,972</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22,077</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22,014</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i/>
                <w:iCs/>
                <w:sz w:val="14"/>
                <w:szCs w:val="14"/>
              </w:rPr>
            </w:pPr>
            <w:r>
              <w:rPr>
                <w:i/>
                <w:iCs/>
                <w:sz w:val="14"/>
                <w:szCs w:val="14"/>
              </w:rPr>
              <w:t>22,061</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12,744</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15,257</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28,145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28,145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36,521</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57,086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46,087</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29,582</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61,517</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3,411</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6,628</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19,990</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19,990</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28,366</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49,113</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38,114</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21,609</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i/>
                <w:iCs/>
                <w:sz w:val="14"/>
                <w:szCs w:val="14"/>
              </w:rPr>
            </w:pPr>
            <w:r>
              <w:rPr>
                <w:i/>
                <w:iCs/>
                <w:sz w:val="14"/>
                <w:szCs w:val="14"/>
              </w:rPr>
              <w:t>53,454</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3,686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10,259</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6,447</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6,447</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4,943</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7,021</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5,441</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4,771</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4,229</w:t>
            </w:r>
          </w:p>
        </w:tc>
      </w:tr>
      <w:tr w:rsidR="008C1990"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8C1990" w:rsidRPr="002D5FD9" w:rsidRDefault="008C1990" w:rsidP="008C1990">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C1990" w:rsidRDefault="008C1990" w:rsidP="008C1990">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8C1990" w:rsidRDefault="008C1990" w:rsidP="008C1990">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8C1990" w:rsidRDefault="008C1990" w:rsidP="008C1990">
            <w:pPr>
              <w:jc w:val="right"/>
              <w:rPr>
                <w:i/>
                <w:iCs/>
                <w:sz w:val="14"/>
                <w:szCs w:val="14"/>
              </w:rPr>
            </w:pPr>
            <w:r>
              <w:rPr>
                <w:i/>
                <w:iCs/>
                <w:sz w:val="14"/>
                <w:szCs w:val="14"/>
              </w:rPr>
              <w:t>..</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136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73</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27</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27</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53</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55</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63</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i/>
                <w:iCs/>
                <w:sz w:val="14"/>
                <w:szCs w:val="14"/>
              </w:rPr>
            </w:pPr>
            <w:r>
              <w:rPr>
                <w:i/>
                <w:iCs/>
                <w:sz w:val="14"/>
                <w:szCs w:val="14"/>
              </w:rPr>
              <w:t>-</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2,253,749</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2,463,113</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3,145,065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3,145,065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3,258,289</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3,600,627</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3,726,620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3,790,082</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3,919,920</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(162,778)</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(37,576)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103,925</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103,925</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227,642</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b/>
                <w:bCs/>
                <w:sz w:val="14"/>
                <w:szCs w:val="14"/>
              </w:rPr>
            </w:pPr>
            <w:r>
              <w:rPr>
                <w:b/>
                <w:bCs/>
                <w:sz w:val="14"/>
                <w:szCs w:val="14"/>
              </w:rPr>
              <w:t>88,622</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20,409</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b/>
                <w:bCs/>
                <w:sz w:val="14"/>
                <w:szCs w:val="14"/>
              </w:rPr>
            </w:pPr>
            <w:r>
              <w:rPr>
                <w:b/>
                <w:bCs/>
                <w:sz w:val="14"/>
                <w:szCs w:val="14"/>
              </w:rPr>
              <w:t>(86,554)</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b/>
                <w:bCs/>
                <w:sz w:val="14"/>
                <w:szCs w:val="14"/>
              </w:rPr>
            </w:pPr>
            <w:r>
              <w:rPr>
                <w:b/>
                <w:bCs/>
                <w:sz w:val="14"/>
                <w:szCs w:val="14"/>
              </w:rPr>
              <w:t>(55,612)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1,614,791</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2,136,426</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2,290,604</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2,290,604</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2,272,778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2,538,006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2,459,950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2,686,655</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2,917,172</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1,614,406</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1,871,240</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1,989,742</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1,989,742</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1,983,118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2,463,276</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2,463,280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2,626,766</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2,942,038</w:t>
            </w:r>
          </w:p>
        </w:tc>
      </w:tr>
      <w:tr w:rsidR="00DB0D5A"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DB0D5A" w:rsidRPr="002D5FD9" w:rsidRDefault="00DB0D5A" w:rsidP="00DB0D5A">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(163,162)</w:t>
            </w:r>
          </w:p>
        </w:tc>
        <w:tc>
          <w:tcPr>
            <w:tcW w:w="812"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(302,762)</w:t>
            </w:r>
          </w:p>
        </w:tc>
        <w:tc>
          <w:tcPr>
            <w:tcW w:w="811"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(196,938)</w:t>
            </w:r>
          </w:p>
        </w:tc>
        <w:tc>
          <w:tcPr>
            <w:tcW w:w="76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(196,938)</w:t>
            </w:r>
          </w:p>
        </w:tc>
        <w:tc>
          <w:tcPr>
            <w:tcW w:w="716"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(62,018)</w:t>
            </w:r>
          </w:p>
        </w:tc>
        <w:tc>
          <w:tcPr>
            <w:tcW w:w="810" w:type="dxa"/>
            <w:tcBorders>
              <w:top w:val="nil"/>
              <w:left w:val="nil"/>
              <w:bottom w:val="nil"/>
              <w:right w:val="nil"/>
            </w:tcBorders>
            <w:shd w:val="clear" w:color="auto" w:fill="auto"/>
            <w:tcMar>
              <w:left w:w="43" w:type="dxa"/>
              <w:right w:w="43" w:type="dxa"/>
            </w:tcMar>
            <w:vAlign w:val="center"/>
            <w:hideMark/>
          </w:tcPr>
          <w:p w:rsidR="00DB0D5A" w:rsidRDefault="00DB0D5A" w:rsidP="00DB0D5A">
            <w:pPr>
              <w:jc w:val="right"/>
              <w:rPr>
                <w:sz w:val="14"/>
                <w:szCs w:val="14"/>
              </w:rPr>
            </w:pPr>
            <w:r>
              <w:rPr>
                <w:sz w:val="14"/>
                <w:szCs w:val="14"/>
              </w:rPr>
              <w:t>13,893</w:t>
            </w:r>
          </w:p>
        </w:tc>
        <w:tc>
          <w:tcPr>
            <w:tcW w:w="787"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23,740</w:t>
            </w:r>
          </w:p>
        </w:tc>
        <w:tc>
          <w:tcPr>
            <w:tcW w:w="853" w:type="dxa"/>
            <w:tcBorders>
              <w:top w:val="nil"/>
              <w:left w:val="nil"/>
              <w:bottom w:val="nil"/>
              <w:right w:val="nil"/>
            </w:tcBorders>
            <w:shd w:val="clear" w:color="auto" w:fill="auto"/>
            <w:tcMar>
              <w:left w:w="43" w:type="dxa"/>
              <w:right w:w="43" w:type="dxa"/>
            </w:tcMar>
            <w:vAlign w:val="center"/>
          </w:tcPr>
          <w:p w:rsidR="00DB0D5A" w:rsidRDefault="00DB0D5A" w:rsidP="00DB0D5A">
            <w:pPr>
              <w:jc w:val="right"/>
              <w:rPr>
                <w:sz w:val="14"/>
                <w:szCs w:val="14"/>
              </w:rPr>
            </w:pPr>
            <w:r>
              <w:rPr>
                <w:sz w:val="14"/>
                <w:szCs w:val="14"/>
              </w:rPr>
              <w:t>(146,442)</w:t>
            </w:r>
          </w:p>
        </w:tc>
        <w:tc>
          <w:tcPr>
            <w:tcW w:w="808" w:type="dxa"/>
            <w:tcBorders>
              <w:top w:val="nil"/>
              <w:left w:val="nil"/>
              <w:bottom w:val="nil"/>
              <w:right w:val="nil"/>
            </w:tcBorders>
            <w:shd w:val="clear" w:color="auto" w:fill="auto"/>
            <w:noWrap/>
            <w:tcMar>
              <w:left w:w="43" w:type="dxa"/>
              <w:right w:w="43" w:type="dxa"/>
            </w:tcMar>
            <w:vAlign w:val="center"/>
          </w:tcPr>
          <w:p w:rsidR="00DB0D5A" w:rsidRDefault="00DB0D5A" w:rsidP="00DB0D5A">
            <w:pPr>
              <w:jc w:val="right"/>
              <w:rPr>
                <w:sz w:val="14"/>
                <w:szCs w:val="14"/>
              </w:rPr>
            </w:pPr>
            <w:r>
              <w:rPr>
                <w:sz w:val="14"/>
                <w:szCs w:val="14"/>
              </w:rPr>
              <w:t>(30,747)</w:t>
            </w:r>
          </w:p>
        </w:tc>
      </w:tr>
      <w:tr w:rsidR="00A70FC7" w:rsidRPr="002D5FD9"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rsidR="00A70FC7" w:rsidRDefault="00A70FC7" w:rsidP="00A70FC7">
            <w:pPr>
              <w:ind w:left="360" w:hanging="360"/>
              <w:jc w:val="right"/>
              <w:rPr>
                <w:szCs w:val="18"/>
              </w:rPr>
            </w:pPr>
            <w:r>
              <w:rPr>
                <w:sz w:val="14"/>
                <w:szCs w:val="14"/>
              </w:rPr>
              <w:t>Source: Statistics &amp; Data Warehouse Department SBP</w:t>
            </w:r>
          </w:p>
          <w:p w:rsidR="00A70FC7" w:rsidRPr="00916320" w:rsidRDefault="00A70FC7" w:rsidP="00A70FC7">
            <w:pPr>
              <w:ind w:left="360" w:hanging="360"/>
              <w:jc w:val="left"/>
              <w:rPr>
                <w:rFonts w:asciiTheme="majorBidi" w:hAnsiTheme="majorBidi" w:cstheme="majorBidi"/>
                <w:szCs w:val="18"/>
              </w:rPr>
            </w:pPr>
            <w:r w:rsidRPr="00916320">
              <w:rPr>
                <w:szCs w:val="18"/>
              </w:rPr>
              <w:t xml:space="preserve">Note: </w:t>
            </w:r>
          </w:p>
          <w:p w:rsidR="00A70FC7" w:rsidRPr="00916320" w:rsidRDefault="00A70FC7" w:rsidP="00A70FC7">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A70FC7" w:rsidRPr="00916320" w:rsidRDefault="00413752" w:rsidP="00A70FC7">
            <w:pPr>
              <w:pStyle w:val="ListParagraph"/>
              <w:numPr>
                <w:ilvl w:val="0"/>
                <w:numId w:val="15"/>
              </w:numPr>
              <w:rPr>
                <w:rFonts w:asciiTheme="majorBidi" w:hAnsiTheme="majorBidi" w:cstheme="majorBidi"/>
                <w:sz w:val="14"/>
                <w:szCs w:val="14"/>
              </w:rPr>
            </w:pPr>
            <w:hyperlink r:id="rId15" w:history="1">
              <w:r w:rsidR="00A70FC7"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A70FC7" w:rsidRPr="00916320">
              <w:rPr>
                <w:rFonts w:asciiTheme="majorBidi" w:hAnsiTheme="majorBidi" w:cstheme="majorBidi"/>
                <w:sz w:val="14"/>
                <w:szCs w:val="14"/>
              </w:rPr>
              <w:t xml:space="preserve"> </w:t>
            </w:r>
            <w:hyperlink r:id="rId16" w:history="1">
              <w:r w:rsidR="00A70FC7" w:rsidRPr="00DC610A">
                <w:rPr>
                  <w:rFonts w:asciiTheme="majorBidi" w:hAnsiTheme="majorBidi" w:cstheme="majorBidi"/>
                  <w:sz w:val="14"/>
                  <w:szCs w:val="14"/>
                </w:rPr>
                <w:t>www.sbp.org.pk/ecodata/Revision_Monetary_Stats.pdf</w:t>
              </w:r>
            </w:hyperlink>
          </w:p>
          <w:p w:rsidR="00A70FC7" w:rsidRPr="00DC610A" w:rsidRDefault="00A70FC7" w:rsidP="00A70FC7">
            <w:pPr>
              <w:pStyle w:val="ListParagraph"/>
              <w:numPr>
                <w:ilvl w:val="0"/>
                <w:numId w:val="15"/>
              </w:numPr>
              <w:rPr>
                <w:rFonts w:asciiTheme="majorBidi" w:hAnsiTheme="majorBidi" w:cstheme="majorBidi"/>
                <w:color w:val="0000FF"/>
                <w:sz w:val="14"/>
                <w:szCs w:val="14"/>
                <w:u w:val="single"/>
              </w:rPr>
            </w:pPr>
            <w:r w:rsidRPr="001359EE">
              <w:rPr>
                <w:rFonts w:asciiTheme="majorBidi" w:hAnsiTheme="majorBidi" w:cstheme="majorBidi"/>
                <w:color w:val="000000" w:themeColor="text1"/>
                <w:sz w:val="14"/>
                <w:szCs w:val="14"/>
              </w:rPr>
              <w:t xml:space="preserve">From </w:t>
            </w:r>
            <w:r w:rsidRPr="001359EE">
              <w:rPr>
                <w:rFonts w:asciiTheme="majorBidi" w:hAnsiTheme="majorBidi" w:cstheme="majorBidi"/>
                <w:sz w:val="14"/>
                <w:szCs w:val="14"/>
              </w:rPr>
              <w:t>July 2019, data on Central and Provincial Government deposits with scheduled banks have been revised. This revision is due to reclassification of some of the PSEs, which were previously reported under Government deposits. The cover</w:t>
            </w:r>
            <w:r>
              <w:rPr>
                <w:rFonts w:asciiTheme="majorBidi" w:hAnsiTheme="majorBidi" w:cstheme="majorBidi"/>
                <w:sz w:val="14"/>
                <w:szCs w:val="14"/>
              </w:rPr>
              <w:t>age of PSEs has been increased.</w:t>
            </w:r>
          </w:p>
          <w:p w:rsidR="00A70FC7" w:rsidRPr="00DC610A" w:rsidRDefault="00A70FC7" w:rsidP="00A70FC7">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The claims on Indian Government are reclassified as Other Assets in line with changes in SBP Statement of Affairs from July 2020.</w:t>
            </w:r>
          </w:p>
          <w:p w:rsidR="00A70FC7" w:rsidRPr="007A445B" w:rsidRDefault="00A70FC7" w:rsidP="00A70FC7">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84"/>
        <w:gridCol w:w="810"/>
        <w:gridCol w:w="736"/>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F4F8B" w:rsidRPr="009B6E8A" w:rsidTr="00D8784E">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nil"/>
              <w:bottom w:val="single" w:sz="4" w:space="0" w:color="auto"/>
              <w:right w:val="single" w:sz="4" w:space="0" w:color="auto"/>
            </w:tcBorders>
            <w:shd w:val="clear" w:color="auto" w:fill="auto"/>
            <w:vAlign w:val="center"/>
          </w:tcPr>
          <w:p w:rsidR="00EF4F8B" w:rsidRPr="009B6E8A" w:rsidRDefault="00EF4F8B" w:rsidP="004E4510">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EF4F8B" w:rsidRPr="009B6E8A" w:rsidRDefault="00EF4F8B" w:rsidP="004E4510">
            <w:pPr>
              <w:rPr>
                <w:b/>
                <w:bCs/>
                <w:color w:val="auto"/>
                <w:szCs w:val="16"/>
              </w:rPr>
            </w:pPr>
            <w:r>
              <w:rPr>
                <w:b/>
                <w:bCs/>
                <w:color w:val="auto"/>
                <w:szCs w:val="16"/>
              </w:rPr>
              <w:t>2021</w:t>
            </w:r>
          </w:p>
        </w:tc>
      </w:tr>
      <w:tr w:rsidR="00FD50FA" w:rsidRPr="009B6E8A" w:rsidTr="00D8784E">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FD50FA" w:rsidRPr="009B6E8A" w:rsidRDefault="00FD50FA" w:rsidP="00FD50FA">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D50FA" w:rsidRPr="006619BF" w:rsidRDefault="00FD50FA" w:rsidP="00FD50FA">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D50FA" w:rsidRPr="006619BF" w:rsidRDefault="00FD50FA" w:rsidP="00FD50FA">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D50FA" w:rsidRPr="006619BF" w:rsidRDefault="00FD50FA" w:rsidP="00FD50FA">
            <w:pPr>
              <w:jc w:val="right"/>
              <w:rPr>
                <w:b/>
                <w:bCs/>
                <w:color w:val="auto"/>
                <w:sz w:val="14"/>
                <w:szCs w:val="14"/>
              </w:rPr>
            </w:pPr>
            <w:r>
              <w:rPr>
                <w:b/>
                <w:bCs/>
                <w:color w:val="auto"/>
                <w:sz w:val="14"/>
                <w:szCs w:val="14"/>
              </w:rPr>
              <w:t>FY21</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D50FA" w:rsidRPr="006619BF" w:rsidRDefault="00FD50FA" w:rsidP="00FD50FA">
            <w:pPr>
              <w:jc w:val="right"/>
              <w:rPr>
                <w:b/>
                <w:color w:val="auto"/>
                <w:sz w:val="14"/>
                <w:szCs w:val="14"/>
              </w:rPr>
            </w:pPr>
            <w:r>
              <w:rPr>
                <w:b/>
                <w:color w:val="auto"/>
                <w:sz w:val="14"/>
                <w:szCs w:val="14"/>
              </w:rPr>
              <w:t>Jun</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D50FA" w:rsidRPr="006619BF" w:rsidRDefault="00FD50FA" w:rsidP="00FD50FA">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D50FA" w:rsidRPr="00946E91" w:rsidRDefault="00FD50FA" w:rsidP="00FD50FA">
            <w:pPr>
              <w:jc w:val="right"/>
              <w:rPr>
                <w:b/>
                <w:color w:val="auto"/>
                <w:sz w:val="14"/>
                <w:szCs w:val="14"/>
              </w:rPr>
            </w:pPr>
            <w:r>
              <w:rPr>
                <w:b/>
                <w:color w:val="auto"/>
                <w:sz w:val="14"/>
                <w:szCs w:val="14"/>
              </w:rPr>
              <w:t>Apr</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FD50FA" w:rsidRPr="00946E91" w:rsidRDefault="00FD50FA" w:rsidP="00FD50FA">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FD50FA" w:rsidRPr="00562AEF" w:rsidRDefault="00FD50FA" w:rsidP="00FD50FA">
            <w:pPr>
              <w:jc w:val="right"/>
              <w:rPr>
                <w:b/>
                <w:color w:val="auto"/>
                <w:sz w:val="14"/>
                <w:szCs w:val="14"/>
                <w:vertAlign w:val="superscript"/>
              </w:rPr>
            </w:pPr>
            <w:r>
              <w:rPr>
                <w:b/>
                <w:color w:val="auto"/>
                <w:sz w:val="14"/>
                <w:szCs w:val="14"/>
              </w:rPr>
              <w:t>Jun</w:t>
            </w:r>
            <w:r>
              <w:rPr>
                <w:b/>
                <w:color w:val="auto"/>
                <w:sz w:val="14"/>
                <w:szCs w:val="14"/>
                <w:vertAlign w:val="superscript"/>
              </w:rPr>
              <w:t xml:space="preserve"> 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FD50FA" w:rsidRPr="00FD50FA" w:rsidRDefault="00FD50FA" w:rsidP="00FD50FA">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FD50FA" w:rsidRPr="009B6E8A" w:rsidTr="00D8784E">
        <w:trPr>
          <w:trHeight w:hRule="exact" w:val="178"/>
          <w:jc w:val="center"/>
        </w:trPr>
        <w:tc>
          <w:tcPr>
            <w:tcW w:w="3341" w:type="dxa"/>
            <w:gridSpan w:val="2"/>
            <w:tcBorders>
              <w:top w:val="nil"/>
              <w:left w:val="nil"/>
              <w:bottom w:val="nil"/>
              <w:right w:val="nil"/>
            </w:tcBorders>
            <w:shd w:val="clear" w:color="auto" w:fill="auto"/>
            <w:noWrap/>
            <w:vAlign w:val="center"/>
            <w:hideMark/>
          </w:tcPr>
          <w:p w:rsidR="00FD50FA" w:rsidRPr="009B6E8A" w:rsidRDefault="00FD50FA" w:rsidP="00FD50FA">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3"/>
                <w:szCs w:val="13"/>
              </w:rPr>
            </w:pP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3"/>
                <w:szCs w:val="13"/>
              </w:rPr>
            </w:pP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6,909,937</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6,142,016</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6,432,112</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6,814,968</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6,943,025</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6,909,937</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7,284,559</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325,508</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355,246</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377,516</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450,784</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378,302</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390,260</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68,004</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41,218</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54,153</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61,403</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62,723</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68,004</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66,461</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1,307,242</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1,171,104</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907,846</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976,716</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928,385</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1,307,242</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1,032,651</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8,663,485</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7,679,845</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7,749,357</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8,230,604</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8,384,917</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8,663,485</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8,773,931</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930,600</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(181,347)</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13,239</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600,834</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669,602</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930,600</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1,044,609</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7,732,885</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7,861,192</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7,736,118</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7,629,770</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7,715,315</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7,732,885</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7,729,322</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5,407,407</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6,524,286</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6,086,573</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5,365,823</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4,684,794</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5,407,407</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4,828,588</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5,419,751</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6,538,797</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6,101,238</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5,374,451</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4,696,496</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5,419,751</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4,843,318</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5,799,536</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6,750,123</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6,354,538</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5,945,105</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5,193,897</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5,799,536</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5,319,525</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(926,776)</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(565,997)</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(673,491)</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(905,028)</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(1,706,875)</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(926,776)</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(1,417,236)</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(346,850)</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(192,737)</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(222,838)</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(516,505)</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(445,057)</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(346,850)</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(434,344)</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(37,307)</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(39,105)</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(46,804)</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(74,266)</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(63,930)</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(37,307)</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(49,111)</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(31,540)</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(8,321)</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(9,118)</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(38,572)</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(24,602)</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(31,540)</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(27,680)</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(207,104)</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(81,570)</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(110,340)</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(308,585)</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(289,581)</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(207,104)</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(274,439)</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(70,899)</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(63,741)</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(56,576)</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(95,082)</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(66,945)</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(70,899)</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(83,114)</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(12,368)</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(5,047)</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(14,185)</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(25,725)</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(29,538)</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(12,368)</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(17,048)</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(20,566)</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(13,543)</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(16,278)</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(28,424)</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(22,805)</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(20,566)</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(24,815)</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(12,344)</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(14,510)</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(14,665)</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(8,628)</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(11,702)</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(12,344)</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(14,731)</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Default="00FD50FA" w:rsidP="00FD50FA">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1,308,086</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895,663</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946,036</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1,228,203</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1,250,538</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1,308,086</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1,303,839</w:t>
            </w:r>
          </w:p>
        </w:tc>
      </w:tr>
      <w:tr w:rsidR="00FD50FA"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FD50FA" w:rsidRPr="008C32C5" w:rsidRDefault="00FD50FA" w:rsidP="00FD50FA">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1,281,594</w:t>
            </w:r>
          </w:p>
        </w:tc>
        <w:tc>
          <w:tcPr>
            <w:tcW w:w="756"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876,619</w:t>
            </w:r>
          </w:p>
        </w:tc>
        <w:tc>
          <w:tcPr>
            <w:tcW w:w="884" w:type="dxa"/>
            <w:tcBorders>
              <w:top w:val="nil"/>
              <w:left w:val="nil"/>
              <w:bottom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926,990</w:t>
            </w:r>
          </w:p>
        </w:tc>
        <w:tc>
          <w:tcPr>
            <w:tcW w:w="810" w:type="dxa"/>
            <w:tcBorders>
              <w:top w:val="nil"/>
              <w:left w:val="nil"/>
              <w:bottom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1,202,346</w:t>
            </w:r>
          </w:p>
        </w:tc>
        <w:tc>
          <w:tcPr>
            <w:tcW w:w="736"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1,224,553</w:t>
            </w:r>
          </w:p>
        </w:tc>
        <w:tc>
          <w:tcPr>
            <w:tcW w:w="810"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1,281,594</w:t>
            </w:r>
          </w:p>
        </w:tc>
        <w:tc>
          <w:tcPr>
            <w:tcW w:w="761" w:type="dxa"/>
            <w:tcBorders>
              <w:top w:val="nil"/>
              <w:left w:val="nil"/>
              <w:bottom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1,276,957</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FD50FA" w:rsidRDefault="00FD50FA" w:rsidP="00FD50FA">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1,279</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1,972</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3,865</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1,972</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2,046</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3,253</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3,749</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3,865</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3,815</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FD50FA" w:rsidRDefault="00FD50FA" w:rsidP="00FD50FA">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150,030</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191,951</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413,636</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191,951</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225,715</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348,234</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366,764</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413,636</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432,714</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FD50FA" w:rsidRDefault="00FD50FA" w:rsidP="00FD50FA">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386,843</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528,035</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589,340</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528,035</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508,788</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579,642</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585,482</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589,340</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587,725</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FD50FA" w:rsidRDefault="00FD50FA" w:rsidP="00FD50FA">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FD50FA" w:rsidRDefault="00FD50FA" w:rsidP="00FD50FA">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144,737</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154,661</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274,753</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154,661</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190,441</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271,217</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268,558</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274,753</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252,703</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center"/>
            <w:hideMark/>
          </w:tcPr>
          <w:p w:rsidR="00FD50FA" w:rsidRPr="008C32C5" w:rsidRDefault="00FD50FA" w:rsidP="00FD50FA">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36,321</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43,288</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50,736</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43,288</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43,289</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50,101</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50,229</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50,736</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51,126</w:t>
            </w:r>
          </w:p>
        </w:tc>
      </w:tr>
      <w:tr w:rsidR="00FD50FA" w:rsidRPr="009B6E8A" w:rsidTr="00D8784E">
        <w:trPr>
          <w:trHeight w:hRule="exact" w:val="369"/>
          <w:jc w:val="center"/>
        </w:trPr>
        <w:tc>
          <w:tcPr>
            <w:tcW w:w="3341" w:type="dxa"/>
            <w:gridSpan w:val="2"/>
            <w:tcBorders>
              <w:top w:val="nil"/>
              <w:left w:val="nil"/>
              <w:right w:val="nil"/>
            </w:tcBorders>
            <w:shd w:val="clear" w:color="auto" w:fill="auto"/>
            <w:noWrap/>
            <w:vAlign w:val="center"/>
            <w:hideMark/>
          </w:tcPr>
          <w:p w:rsidR="00FD50FA" w:rsidRDefault="00FD50FA" w:rsidP="00FD50FA">
            <w:pPr>
              <w:ind w:firstLineChars="196" w:firstLine="314"/>
              <w:jc w:val="left"/>
              <w:rPr>
                <w:szCs w:val="16"/>
              </w:rPr>
            </w:pPr>
            <w:r>
              <w:rPr>
                <w:szCs w:val="16"/>
              </w:rPr>
              <w:t>iii. PSEs Special A/C</w:t>
            </w:r>
            <w:r w:rsidRPr="008C32C5">
              <w:rPr>
                <w:szCs w:val="16"/>
              </w:rPr>
              <w:t xml:space="preserve"> Debt Repayment</w:t>
            </w:r>
          </w:p>
          <w:p w:rsidR="00FD50FA" w:rsidRPr="008C32C5" w:rsidRDefault="00FD50FA" w:rsidP="00FD50FA">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(24,244)</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sz w:val="14"/>
                <w:szCs w:val="14"/>
              </w:rPr>
            </w:pPr>
            <w:r>
              <w:rPr>
                <w:sz w:val="14"/>
                <w:szCs w:val="14"/>
              </w:rPr>
              <w:t>(24,244)</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sz w:val="14"/>
                <w:szCs w:val="14"/>
              </w:rPr>
            </w:pPr>
            <w:r>
              <w:rPr>
                <w:sz w:val="14"/>
                <w:szCs w:val="14"/>
              </w:rPr>
              <w:t>(24,244)</w:t>
            </w:r>
          </w:p>
        </w:tc>
      </w:tr>
      <w:tr w:rsidR="00FD50FA" w:rsidRPr="009B6E8A" w:rsidTr="00D8784E">
        <w:trPr>
          <w:trHeight w:hRule="exact" w:val="276"/>
          <w:jc w:val="center"/>
        </w:trPr>
        <w:tc>
          <w:tcPr>
            <w:tcW w:w="3341" w:type="dxa"/>
            <w:gridSpan w:val="2"/>
            <w:tcBorders>
              <w:top w:val="nil"/>
              <w:left w:val="nil"/>
              <w:right w:val="nil"/>
            </w:tcBorders>
            <w:shd w:val="clear" w:color="auto" w:fill="auto"/>
            <w:noWrap/>
            <w:vAlign w:val="center"/>
            <w:hideMark/>
          </w:tcPr>
          <w:p w:rsidR="00FD50FA" w:rsidRDefault="00FD50FA" w:rsidP="00FD50FA">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441,243</w:t>
            </w: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1,017,392</w:t>
            </w: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441,243</w:t>
            </w: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703,509</w:t>
            </w: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1,035,744</w:t>
            </w: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1,779,982</w:t>
            </w: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1,017,392</w:t>
            </w: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1,596,895</w:t>
            </w:r>
          </w:p>
        </w:tc>
      </w:tr>
      <w:tr w:rsidR="00FD50FA"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FD50FA" w:rsidRPr="00F12B79" w:rsidRDefault="00FD50FA" w:rsidP="00FD50FA">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p>
        </w:tc>
        <w:tc>
          <w:tcPr>
            <w:tcW w:w="884" w:type="dxa"/>
            <w:tcBorders>
              <w:top w:val="nil"/>
              <w:left w:val="nil"/>
              <w:right w:val="nil"/>
            </w:tcBorders>
            <w:shd w:val="clear" w:color="auto" w:fill="auto"/>
            <w:tcMar>
              <w:left w:w="43" w:type="dxa"/>
              <w:right w:w="43" w:type="dxa"/>
            </w:tcMar>
            <w:vAlign w:val="center"/>
          </w:tcPr>
          <w:p w:rsidR="00FD50FA" w:rsidRDefault="00FD50FA" w:rsidP="00FD50FA">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p>
        </w:tc>
        <w:tc>
          <w:tcPr>
            <w:tcW w:w="736"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FD50FA" w:rsidRDefault="00FD50FA" w:rsidP="00FD50FA">
            <w:pPr>
              <w:jc w:val="right"/>
              <w:rPr>
                <w:b/>
                <w:bCs/>
                <w:sz w:val="14"/>
                <w:szCs w:val="14"/>
              </w:rPr>
            </w:pPr>
          </w:p>
        </w:tc>
      </w:tr>
      <w:tr w:rsidR="00FD50FA" w:rsidRPr="009B6E8A" w:rsidTr="00D8784E">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D50FA" w:rsidRDefault="00FD50FA" w:rsidP="00FD50FA">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7,679,845</w:t>
            </w:r>
          </w:p>
        </w:tc>
        <w:tc>
          <w:tcPr>
            <w:tcW w:w="741" w:type="dxa"/>
            <w:tcBorders>
              <w:left w:val="nil"/>
              <w:bottom w:val="single" w:sz="12" w:space="0" w:color="auto"/>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8,663,485</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7,679,845</w:t>
            </w:r>
          </w:p>
        </w:tc>
        <w:tc>
          <w:tcPr>
            <w:tcW w:w="884" w:type="dxa"/>
            <w:tcBorders>
              <w:left w:val="nil"/>
              <w:bottom w:val="single" w:sz="12" w:space="0" w:color="auto"/>
              <w:right w:val="nil"/>
            </w:tcBorders>
            <w:shd w:val="clear" w:color="auto" w:fill="auto"/>
            <w:tcMar>
              <w:left w:w="43" w:type="dxa"/>
              <w:right w:w="43" w:type="dxa"/>
            </w:tcMar>
            <w:vAlign w:val="center"/>
          </w:tcPr>
          <w:p w:rsidR="00FD50FA" w:rsidRDefault="00FD50FA" w:rsidP="00FD50FA">
            <w:pPr>
              <w:jc w:val="right"/>
              <w:rPr>
                <w:b/>
                <w:bCs/>
                <w:sz w:val="14"/>
                <w:szCs w:val="14"/>
              </w:rPr>
            </w:pPr>
            <w:r>
              <w:rPr>
                <w:b/>
                <w:bCs/>
                <w:sz w:val="14"/>
                <w:szCs w:val="14"/>
              </w:rPr>
              <w:t>7,749,357</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FD50FA" w:rsidRDefault="00FD50FA" w:rsidP="00FD50FA">
            <w:pPr>
              <w:jc w:val="right"/>
              <w:rPr>
                <w:b/>
                <w:bCs/>
                <w:sz w:val="14"/>
                <w:szCs w:val="14"/>
              </w:rPr>
            </w:pPr>
            <w:r>
              <w:rPr>
                <w:b/>
                <w:bCs/>
                <w:sz w:val="14"/>
                <w:szCs w:val="14"/>
              </w:rPr>
              <w:t>8,230,604</w:t>
            </w:r>
          </w:p>
        </w:tc>
        <w:tc>
          <w:tcPr>
            <w:tcW w:w="736" w:type="dxa"/>
            <w:tcBorders>
              <w:left w:val="nil"/>
              <w:bottom w:val="single" w:sz="12" w:space="0" w:color="auto"/>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8,384,917</w:t>
            </w:r>
          </w:p>
        </w:tc>
        <w:tc>
          <w:tcPr>
            <w:tcW w:w="810" w:type="dxa"/>
            <w:tcBorders>
              <w:left w:val="nil"/>
              <w:bottom w:val="single" w:sz="12" w:space="0" w:color="auto"/>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8,663,485</w:t>
            </w:r>
          </w:p>
        </w:tc>
        <w:tc>
          <w:tcPr>
            <w:tcW w:w="761" w:type="dxa"/>
            <w:tcBorders>
              <w:left w:val="nil"/>
              <w:bottom w:val="single" w:sz="12" w:space="0" w:color="auto"/>
              <w:right w:val="nil"/>
            </w:tcBorders>
            <w:shd w:val="clear" w:color="auto" w:fill="auto"/>
            <w:noWrap/>
            <w:tcMar>
              <w:left w:w="43" w:type="dxa"/>
              <w:right w:w="43" w:type="dxa"/>
            </w:tcMar>
            <w:vAlign w:val="center"/>
          </w:tcPr>
          <w:p w:rsidR="00FD50FA" w:rsidRDefault="00FD50FA" w:rsidP="00FD50FA">
            <w:pPr>
              <w:jc w:val="right"/>
              <w:rPr>
                <w:b/>
                <w:bCs/>
                <w:sz w:val="14"/>
                <w:szCs w:val="14"/>
              </w:rPr>
            </w:pPr>
            <w:r>
              <w:rPr>
                <w:b/>
                <w:bCs/>
                <w:sz w:val="14"/>
                <w:szCs w:val="14"/>
              </w:rPr>
              <w:t>8,773,931</w:t>
            </w:r>
          </w:p>
        </w:tc>
      </w:tr>
      <w:tr w:rsidR="00FD50FA"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FD50FA" w:rsidRPr="00691090" w:rsidRDefault="00FD50FA" w:rsidP="00FD50FA">
            <w:pPr>
              <w:jc w:val="right"/>
              <w:rPr>
                <w:sz w:val="14"/>
                <w:szCs w:val="14"/>
              </w:rPr>
            </w:pPr>
            <w:r>
              <w:rPr>
                <w:sz w:val="14"/>
                <w:szCs w:val="14"/>
              </w:rPr>
              <w:t>Source: Statistics &amp; Data Warehouse Department SBP</w:t>
            </w:r>
          </w:p>
        </w:tc>
      </w:tr>
      <w:tr w:rsidR="00FD50FA"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FD50FA" w:rsidRPr="00916320" w:rsidRDefault="00FD50FA" w:rsidP="00FD50FA">
            <w:pPr>
              <w:ind w:left="405" w:hanging="180"/>
              <w:jc w:val="left"/>
              <w:rPr>
                <w:color w:val="auto"/>
                <w:sz w:val="14"/>
                <w:szCs w:val="14"/>
              </w:rPr>
            </w:pPr>
            <w:r w:rsidRPr="00916320">
              <w:rPr>
                <w:color w:val="auto"/>
                <w:sz w:val="14"/>
                <w:szCs w:val="14"/>
              </w:rPr>
              <w:t>Note:-</w:t>
            </w:r>
          </w:p>
          <w:p w:rsidR="00FD50FA" w:rsidRPr="00916320" w:rsidRDefault="00FD50FA" w:rsidP="00FD50FA">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FD50FA" w:rsidRPr="00916320" w:rsidRDefault="00FD50FA" w:rsidP="00FD50FA">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FD50FA" w:rsidRPr="00FF243E" w:rsidRDefault="00FD50FA" w:rsidP="00FD50FA">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FD50FA"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FD50FA" w:rsidRDefault="00FD50FA" w:rsidP="00FD50FA">
            <w:pPr>
              <w:rPr>
                <w:b/>
                <w:bCs/>
                <w:sz w:val="28"/>
                <w:szCs w:val="28"/>
              </w:rPr>
            </w:pPr>
            <w:r>
              <w:rPr>
                <w:b/>
                <w:bCs/>
                <w:sz w:val="28"/>
                <w:szCs w:val="28"/>
              </w:rPr>
              <w:t>2.5   Currency in Circulation</w:t>
            </w:r>
          </w:p>
        </w:tc>
      </w:tr>
      <w:tr w:rsidR="00FD50FA"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FD50FA" w:rsidRDefault="00FD50FA" w:rsidP="00FD50FA">
            <w:pPr>
              <w:jc w:val="right"/>
              <w:rPr>
                <w:szCs w:val="16"/>
              </w:rPr>
            </w:pPr>
            <w:r>
              <w:rPr>
                <w:szCs w:val="16"/>
              </w:rPr>
              <w:t>( Million  Rupees )</w:t>
            </w:r>
          </w:p>
        </w:tc>
      </w:tr>
      <w:tr w:rsidR="00FD50FA" w:rsidRPr="009B6E8A" w:rsidTr="00D8784E">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FD50FA" w:rsidRPr="009B6E8A" w:rsidRDefault="00FD50FA" w:rsidP="00FD50FA">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FD50FA" w:rsidRPr="000D5A5A" w:rsidRDefault="00FD50FA" w:rsidP="00FD50FA">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D50FA" w:rsidRPr="000D5A5A" w:rsidRDefault="00FD50FA" w:rsidP="00FD50FA">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FD50FA" w:rsidRPr="000D5A5A" w:rsidRDefault="00FD50FA" w:rsidP="00FD50FA">
            <w:pPr>
              <w:rPr>
                <w:b/>
                <w:bCs/>
                <w:color w:val="auto"/>
                <w:szCs w:val="16"/>
              </w:rPr>
            </w:pPr>
            <w:r>
              <w:rPr>
                <w:b/>
                <w:bCs/>
                <w:color w:val="auto"/>
                <w:szCs w:val="16"/>
              </w:rPr>
              <w:t>2021</w:t>
            </w:r>
          </w:p>
        </w:tc>
      </w:tr>
      <w:tr w:rsidR="00FD50FA" w:rsidRPr="009B6E8A" w:rsidTr="00D8784E">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FD50FA" w:rsidRPr="009B6E8A" w:rsidRDefault="00FD50FA" w:rsidP="00FD50FA">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FD50FA" w:rsidRPr="009B6E8A" w:rsidRDefault="00FD50FA" w:rsidP="00FD50FA">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D50FA" w:rsidRPr="006619BF" w:rsidRDefault="00FD50FA" w:rsidP="00FD50FA">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D50FA" w:rsidRPr="006619BF" w:rsidRDefault="00FD50FA" w:rsidP="00FD50FA">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D50FA" w:rsidRPr="006619BF" w:rsidRDefault="00FD50FA" w:rsidP="00FD50FA">
            <w:pPr>
              <w:jc w:val="right"/>
              <w:rPr>
                <w:b/>
                <w:bCs/>
                <w:color w:val="auto"/>
                <w:sz w:val="14"/>
                <w:szCs w:val="14"/>
              </w:rPr>
            </w:pPr>
            <w:r>
              <w:rPr>
                <w:b/>
                <w:bCs/>
                <w:color w:val="auto"/>
                <w:sz w:val="14"/>
                <w:szCs w:val="14"/>
              </w:rPr>
              <w:t>FY21</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D50FA" w:rsidRPr="006619BF" w:rsidRDefault="00FD50FA" w:rsidP="00FD50FA">
            <w:pPr>
              <w:jc w:val="right"/>
              <w:rPr>
                <w:b/>
                <w:color w:val="auto"/>
                <w:sz w:val="14"/>
                <w:szCs w:val="14"/>
              </w:rPr>
            </w:pPr>
            <w:r>
              <w:rPr>
                <w:b/>
                <w:color w:val="auto"/>
                <w:sz w:val="14"/>
                <w:szCs w:val="14"/>
              </w:rPr>
              <w:t>Jun</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D50FA" w:rsidRPr="006619BF" w:rsidRDefault="00A9307E" w:rsidP="00FD50FA">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D50FA" w:rsidRPr="00946E91" w:rsidRDefault="00FD50FA" w:rsidP="00FD50FA">
            <w:pPr>
              <w:jc w:val="right"/>
              <w:rPr>
                <w:b/>
                <w:color w:val="auto"/>
                <w:sz w:val="14"/>
                <w:szCs w:val="14"/>
              </w:rPr>
            </w:pPr>
            <w:r>
              <w:rPr>
                <w:b/>
                <w:color w:val="auto"/>
                <w:sz w:val="14"/>
                <w:szCs w:val="14"/>
              </w:rPr>
              <w:t>Apr</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FD50FA" w:rsidRPr="00946E91" w:rsidRDefault="00FD50FA" w:rsidP="00FD50FA">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FD50FA" w:rsidRPr="00D9064E" w:rsidRDefault="00FD50FA" w:rsidP="00FD50FA">
            <w:pPr>
              <w:jc w:val="right"/>
              <w:rPr>
                <w:b/>
                <w:color w:val="auto"/>
                <w:sz w:val="14"/>
                <w:szCs w:val="14"/>
                <w:vertAlign w:val="superscript"/>
              </w:rPr>
            </w:pPr>
            <w:r>
              <w:rPr>
                <w:b/>
                <w:color w:val="auto"/>
                <w:sz w:val="14"/>
                <w:szCs w:val="14"/>
              </w:rPr>
              <w:t>Jun</w:t>
            </w:r>
            <w:r w:rsidR="00A9307E">
              <w:rPr>
                <w:b/>
                <w:color w:val="auto"/>
                <w:sz w:val="14"/>
                <w:szCs w:val="14"/>
                <w:vertAlign w:val="superscript"/>
              </w:rPr>
              <w:t xml:space="preserve"> </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FD50FA" w:rsidRPr="00A9307E" w:rsidRDefault="00A9307E" w:rsidP="00FD50FA">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A9307E" w:rsidRPr="009B6E8A" w:rsidTr="00D8784E">
        <w:trPr>
          <w:trHeight w:hRule="exact" w:val="236"/>
          <w:jc w:val="center"/>
        </w:trPr>
        <w:tc>
          <w:tcPr>
            <w:tcW w:w="236" w:type="dxa"/>
            <w:tcBorders>
              <w:top w:val="single" w:sz="12" w:space="0" w:color="auto"/>
              <w:left w:val="nil"/>
            </w:tcBorders>
            <w:shd w:val="clear" w:color="auto" w:fill="auto"/>
            <w:noWrap/>
            <w:vAlign w:val="center"/>
            <w:hideMark/>
          </w:tcPr>
          <w:p w:rsidR="00A9307E" w:rsidRDefault="00A9307E" w:rsidP="00A9307E">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A9307E" w:rsidRDefault="00A9307E" w:rsidP="00A9307E">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5,285,026</w:t>
            </w:r>
          </w:p>
        </w:tc>
        <w:tc>
          <w:tcPr>
            <w:tcW w:w="811" w:type="dxa"/>
            <w:tcBorders>
              <w:top w:val="single" w:sz="12" w:space="0" w:color="auto"/>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6,458,763</w:t>
            </w:r>
          </w:p>
        </w:tc>
        <w:tc>
          <w:tcPr>
            <w:tcW w:w="741" w:type="dxa"/>
            <w:tcBorders>
              <w:top w:val="single" w:sz="12" w:space="0" w:color="auto"/>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7,278,860</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6,458,763</w:t>
            </w:r>
          </w:p>
        </w:tc>
        <w:tc>
          <w:tcPr>
            <w:tcW w:w="884" w:type="dxa"/>
            <w:tcBorders>
              <w:top w:val="single" w:sz="12" w:space="0" w:color="auto"/>
              <w:left w:val="nil"/>
              <w:right w:val="nil"/>
            </w:tcBorders>
            <w:shd w:val="clear" w:color="auto" w:fill="auto"/>
            <w:tcMar>
              <w:left w:w="43" w:type="dxa"/>
              <w:right w:w="43" w:type="dxa"/>
            </w:tcMar>
            <w:vAlign w:val="center"/>
          </w:tcPr>
          <w:p w:rsidR="00A9307E" w:rsidRDefault="00A9307E" w:rsidP="00A9307E">
            <w:pPr>
              <w:jc w:val="right"/>
              <w:rPr>
                <w:sz w:val="14"/>
                <w:szCs w:val="14"/>
              </w:rPr>
            </w:pPr>
            <w:r>
              <w:rPr>
                <w:sz w:val="14"/>
                <w:szCs w:val="14"/>
              </w:rPr>
              <w:t>6,778,561</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7,183,016</w:t>
            </w:r>
          </w:p>
        </w:tc>
        <w:tc>
          <w:tcPr>
            <w:tcW w:w="736" w:type="dxa"/>
            <w:tcBorders>
              <w:top w:val="single" w:sz="12" w:space="0" w:color="auto"/>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7,384,415</w:t>
            </w:r>
          </w:p>
        </w:tc>
        <w:tc>
          <w:tcPr>
            <w:tcW w:w="810" w:type="dxa"/>
            <w:tcBorders>
              <w:top w:val="single" w:sz="12" w:space="0" w:color="auto"/>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7,278,860</w:t>
            </w:r>
          </w:p>
        </w:tc>
        <w:tc>
          <w:tcPr>
            <w:tcW w:w="761" w:type="dxa"/>
            <w:tcBorders>
              <w:top w:val="single" w:sz="12" w:space="0" w:color="auto"/>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7,665,403</w:t>
            </w:r>
          </w:p>
        </w:tc>
      </w:tr>
      <w:tr w:rsidR="00A9307E" w:rsidRPr="009B6E8A" w:rsidTr="00D8784E">
        <w:trPr>
          <w:trHeight w:hRule="exact" w:val="236"/>
          <w:jc w:val="center"/>
        </w:trPr>
        <w:tc>
          <w:tcPr>
            <w:tcW w:w="236" w:type="dxa"/>
            <w:tcBorders>
              <w:top w:val="nil"/>
              <w:left w:val="nil"/>
            </w:tcBorders>
            <w:shd w:val="clear" w:color="auto" w:fill="auto"/>
            <w:noWrap/>
            <w:vAlign w:val="center"/>
            <w:hideMark/>
          </w:tcPr>
          <w:p w:rsidR="00A9307E" w:rsidRDefault="00A9307E" w:rsidP="00A9307E">
            <w:pPr>
              <w:jc w:val="left"/>
              <w:rPr>
                <w:sz w:val="14"/>
                <w:szCs w:val="14"/>
              </w:rPr>
            </w:pPr>
            <w:r>
              <w:rPr>
                <w:sz w:val="14"/>
                <w:szCs w:val="14"/>
              </w:rPr>
              <w:t>2</w:t>
            </w:r>
          </w:p>
        </w:tc>
        <w:tc>
          <w:tcPr>
            <w:tcW w:w="3105" w:type="dxa"/>
            <w:tcBorders>
              <w:top w:val="nil"/>
              <w:right w:val="nil"/>
            </w:tcBorders>
            <w:shd w:val="clear" w:color="auto" w:fill="auto"/>
            <w:vAlign w:val="center"/>
          </w:tcPr>
          <w:p w:rsidR="00A9307E" w:rsidRDefault="00A9307E" w:rsidP="00A9307E">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9,728</w:t>
            </w:r>
          </w:p>
        </w:tc>
        <w:tc>
          <w:tcPr>
            <w:tcW w:w="81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9,962</w:t>
            </w:r>
          </w:p>
        </w:tc>
        <w:tc>
          <w:tcPr>
            <w:tcW w:w="74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9,947</w:t>
            </w:r>
          </w:p>
        </w:tc>
        <w:tc>
          <w:tcPr>
            <w:tcW w:w="756"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9,962</w:t>
            </w:r>
          </w:p>
        </w:tc>
        <w:tc>
          <w:tcPr>
            <w:tcW w:w="884" w:type="dxa"/>
            <w:tcBorders>
              <w:top w:val="nil"/>
              <w:left w:val="nil"/>
              <w:right w:val="nil"/>
            </w:tcBorders>
            <w:shd w:val="clear" w:color="auto" w:fill="auto"/>
            <w:tcMar>
              <w:left w:w="43" w:type="dxa"/>
              <w:right w:w="43" w:type="dxa"/>
            </w:tcMar>
            <w:vAlign w:val="center"/>
          </w:tcPr>
          <w:p w:rsidR="00A9307E" w:rsidRDefault="00A9307E" w:rsidP="00A9307E">
            <w:pPr>
              <w:jc w:val="right"/>
              <w:rPr>
                <w:sz w:val="14"/>
                <w:szCs w:val="14"/>
              </w:rPr>
            </w:pPr>
            <w:r>
              <w:rPr>
                <w:sz w:val="14"/>
                <w:szCs w:val="14"/>
              </w:rPr>
              <w:t>9,928</w:t>
            </w:r>
          </w:p>
        </w:tc>
        <w:tc>
          <w:tcPr>
            <w:tcW w:w="810"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9,987</w:t>
            </w:r>
          </w:p>
        </w:tc>
        <w:tc>
          <w:tcPr>
            <w:tcW w:w="736"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9,963</w:t>
            </w:r>
          </w:p>
        </w:tc>
        <w:tc>
          <w:tcPr>
            <w:tcW w:w="810"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9,947</w:t>
            </w:r>
          </w:p>
        </w:tc>
        <w:tc>
          <w:tcPr>
            <w:tcW w:w="76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9,965</w:t>
            </w:r>
          </w:p>
        </w:tc>
      </w:tr>
      <w:tr w:rsidR="00A9307E" w:rsidRPr="009B6E8A" w:rsidTr="00D8784E">
        <w:trPr>
          <w:trHeight w:hRule="exact" w:val="236"/>
          <w:jc w:val="center"/>
        </w:trPr>
        <w:tc>
          <w:tcPr>
            <w:tcW w:w="236" w:type="dxa"/>
            <w:tcBorders>
              <w:top w:val="nil"/>
              <w:left w:val="nil"/>
            </w:tcBorders>
            <w:shd w:val="clear" w:color="auto" w:fill="auto"/>
            <w:noWrap/>
            <w:vAlign w:val="center"/>
            <w:hideMark/>
          </w:tcPr>
          <w:p w:rsidR="00A9307E" w:rsidRDefault="00A9307E" w:rsidP="00A9307E">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A9307E" w:rsidRDefault="00A9307E" w:rsidP="00A9307E">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b/>
                <w:bCs/>
                <w:sz w:val="14"/>
                <w:szCs w:val="14"/>
              </w:rPr>
            </w:pPr>
            <w:r>
              <w:rPr>
                <w:b/>
                <w:bCs/>
                <w:sz w:val="14"/>
                <w:szCs w:val="14"/>
              </w:rPr>
              <w:t>5,294,754</w:t>
            </w:r>
          </w:p>
        </w:tc>
        <w:tc>
          <w:tcPr>
            <w:tcW w:w="811" w:type="dxa"/>
            <w:tcBorders>
              <w:top w:val="nil"/>
              <w:left w:val="nil"/>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6,468,725</w:t>
            </w:r>
          </w:p>
        </w:tc>
        <w:tc>
          <w:tcPr>
            <w:tcW w:w="741" w:type="dxa"/>
            <w:tcBorders>
              <w:top w:val="nil"/>
              <w:left w:val="nil"/>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7,288,807</w:t>
            </w:r>
          </w:p>
        </w:tc>
        <w:tc>
          <w:tcPr>
            <w:tcW w:w="756"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b/>
                <w:bCs/>
                <w:sz w:val="14"/>
                <w:szCs w:val="14"/>
              </w:rPr>
            </w:pPr>
            <w:r>
              <w:rPr>
                <w:b/>
                <w:bCs/>
                <w:sz w:val="14"/>
                <w:szCs w:val="14"/>
              </w:rPr>
              <w:t>6,468,725</w:t>
            </w:r>
          </w:p>
        </w:tc>
        <w:tc>
          <w:tcPr>
            <w:tcW w:w="884" w:type="dxa"/>
            <w:tcBorders>
              <w:top w:val="nil"/>
              <w:left w:val="nil"/>
              <w:right w:val="nil"/>
            </w:tcBorders>
            <w:shd w:val="clear" w:color="auto" w:fill="auto"/>
            <w:tcMar>
              <w:left w:w="43" w:type="dxa"/>
              <w:right w:w="43" w:type="dxa"/>
            </w:tcMar>
            <w:vAlign w:val="center"/>
          </w:tcPr>
          <w:p w:rsidR="00A9307E" w:rsidRDefault="00A9307E" w:rsidP="00A9307E">
            <w:pPr>
              <w:jc w:val="right"/>
              <w:rPr>
                <w:b/>
                <w:bCs/>
                <w:sz w:val="14"/>
                <w:szCs w:val="14"/>
              </w:rPr>
            </w:pPr>
            <w:r>
              <w:rPr>
                <w:b/>
                <w:bCs/>
                <w:sz w:val="14"/>
                <w:szCs w:val="14"/>
              </w:rPr>
              <w:t>6,788,489</w:t>
            </w:r>
          </w:p>
        </w:tc>
        <w:tc>
          <w:tcPr>
            <w:tcW w:w="810"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b/>
                <w:bCs/>
                <w:sz w:val="14"/>
                <w:szCs w:val="14"/>
              </w:rPr>
            </w:pPr>
            <w:r>
              <w:rPr>
                <w:b/>
                <w:bCs/>
                <w:sz w:val="14"/>
                <w:szCs w:val="14"/>
              </w:rPr>
              <w:t>7,193,003</w:t>
            </w:r>
          </w:p>
        </w:tc>
        <w:tc>
          <w:tcPr>
            <w:tcW w:w="736" w:type="dxa"/>
            <w:tcBorders>
              <w:top w:val="nil"/>
              <w:left w:val="nil"/>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7,394,378</w:t>
            </w:r>
          </w:p>
        </w:tc>
        <w:tc>
          <w:tcPr>
            <w:tcW w:w="810" w:type="dxa"/>
            <w:tcBorders>
              <w:top w:val="nil"/>
              <w:left w:val="nil"/>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7,288,807</w:t>
            </w:r>
          </w:p>
        </w:tc>
        <w:tc>
          <w:tcPr>
            <w:tcW w:w="761" w:type="dxa"/>
            <w:tcBorders>
              <w:top w:val="nil"/>
              <w:left w:val="nil"/>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7,675,368</w:t>
            </w:r>
          </w:p>
        </w:tc>
      </w:tr>
      <w:tr w:rsidR="00A9307E" w:rsidRPr="009B6E8A" w:rsidTr="00D8784E">
        <w:trPr>
          <w:trHeight w:hRule="exact" w:val="236"/>
          <w:jc w:val="center"/>
        </w:trPr>
        <w:tc>
          <w:tcPr>
            <w:tcW w:w="236" w:type="dxa"/>
            <w:tcBorders>
              <w:top w:val="nil"/>
              <w:left w:val="nil"/>
            </w:tcBorders>
            <w:shd w:val="clear" w:color="auto" w:fill="auto"/>
            <w:noWrap/>
            <w:vAlign w:val="center"/>
            <w:hideMark/>
          </w:tcPr>
          <w:p w:rsidR="00A9307E" w:rsidRDefault="00A9307E" w:rsidP="00A9307E">
            <w:pPr>
              <w:jc w:val="left"/>
              <w:rPr>
                <w:sz w:val="14"/>
                <w:szCs w:val="14"/>
              </w:rPr>
            </w:pPr>
            <w:r>
              <w:rPr>
                <w:sz w:val="14"/>
                <w:szCs w:val="14"/>
              </w:rPr>
              <w:t>4</w:t>
            </w:r>
          </w:p>
        </w:tc>
        <w:tc>
          <w:tcPr>
            <w:tcW w:w="3105" w:type="dxa"/>
            <w:tcBorders>
              <w:top w:val="nil"/>
              <w:right w:val="nil"/>
            </w:tcBorders>
            <w:shd w:val="clear" w:color="auto" w:fill="auto"/>
            <w:vAlign w:val="center"/>
          </w:tcPr>
          <w:p w:rsidR="00A9307E" w:rsidRDefault="00A9307E" w:rsidP="00A9307E">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160</w:t>
            </w:r>
          </w:p>
        </w:tc>
        <w:tc>
          <w:tcPr>
            <w:tcW w:w="81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173</w:t>
            </w:r>
          </w:p>
        </w:tc>
        <w:tc>
          <w:tcPr>
            <w:tcW w:w="74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150</w:t>
            </w:r>
          </w:p>
        </w:tc>
        <w:tc>
          <w:tcPr>
            <w:tcW w:w="756"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173</w:t>
            </w:r>
          </w:p>
        </w:tc>
        <w:tc>
          <w:tcPr>
            <w:tcW w:w="884" w:type="dxa"/>
            <w:tcBorders>
              <w:top w:val="nil"/>
              <w:left w:val="nil"/>
              <w:right w:val="nil"/>
            </w:tcBorders>
            <w:shd w:val="clear" w:color="auto" w:fill="auto"/>
            <w:tcMar>
              <w:left w:w="43" w:type="dxa"/>
              <w:right w:w="43" w:type="dxa"/>
            </w:tcMar>
            <w:vAlign w:val="center"/>
          </w:tcPr>
          <w:p w:rsidR="00A9307E" w:rsidRDefault="00A9307E" w:rsidP="00A9307E">
            <w:pPr>
              <w:jc w:val="right"/>
              <w:rPr>
                <w:sz w:val="14"/>
                <w:szCs w:val="14"/>
              </w:rPr>
            </w:pPr>
            <w:r>
              <w:rPr>
                <w:sz w:val="14"/>
                <w:szCs w:val="14"/>
              </w:rPr>
              <w:t>138</w:t>
            </w:r>
          </w:p>
        </w:tc>
        <w:tc>
          <w:tcPr>
            <w:tcW w:w="810"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197</w:t>
            </w:r>
          </w:p>
        </w:tc>
        <w:tc>
          <w:tcPr>
            <w:tcW w:w="736"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173</w:t>
            </w:r>
          </w:p>
        </w:tc>
        <w:tc>
          <w:tcPr>
            <w:tcW w:w="810"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150</w:t>
            </w:r>
          </w:p>
        </w:tc>
        <w:tc>
          <w:tcPr>
            <w:tcW w:w="76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169</w:t>
            </w:r>
          </w:p>
        </w:tc>
      </w:tr>
      <w:tr w:rsidR="00A9307E" w:rsidRPr="009B6E8A" w:rsidTr="00D8784E">
        <w:trPr>
          <w:trHeight w:hRule="exact" w:val="236"/>
          <w:jc w:val="center"/>
        </w:trPr>
        <w:tc>
          <w:tcPr>
            <w:tcW w:w="236" w:type="dxa"/>
            <w:tcBorders>
              <w:top w:val="nil"/>
              <w:left w:val="nil"/>
            </w:tcBorders>
            <w:shd w:val="clear" w:color="auto" w:fill="auto"/>
            <w:noWrap/>
            <w:vAlign w:val="center"/>
            <w:hideMark/>
          </w:tcPr>
          <w:p w:rsidR="00A9307E" w:rsidRDefault="00A9307E" w:rsidP="00A9307E">
            <w:pPr>
              <w:jc w:val="left"/>
              <w:rPr>
                <w:sz w:val="14"/>
                <w:szCs w:val="14"/>
              </w:rPr>
            </w:pPr>
            <w:r>
              <w:rPr>
                <w:sz w:val="14"/>
                <w:szCs w:val="14"/>
              </w:rPr>
              <w:t>5</w:t>
            </w:r>
          </w:p>
        </w:tc>
        <w:tc>
          <w:tcPr>
            <w:tcW w:w="3105" w:type="dxa"/>
            <w:tcBorders>
              <w:top w:val="nil"/>
              <w:right w:val="nil"/>
            </w:tcBorders>
            <w:shd w:val="clear" w:color="auto" w:fill="auto"/>
            <w:vAlign w:val="center"/>
          </w:tcPr>
          <w:p w:rsidR="00A9307E" w:rsidRDefault="00A9307E" w:rsidP="00A9307E">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1,039</w:t>
            </w:r>
          </w:p>
        </w:tc>
        <w:tc>
          <w:tcPr>
            <w:tcW w:w="81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1,029</w:t>
            </w:r>
          </w:p>
        </w:tc>
        <w:tc>
          <w:tcPr>
            <w:tcW w:w="74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418</w:t>
            </w:r>
          </w:p>
        </w:tc>
        <w:tc>
          <w:tcPr>
            <w:tcW w:w="756"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1,029</w:t>
            </w:r>
          </w:p>
        </w:tc>
        <w:tc>
          <w:tcPr>
            <w:tcW w:w="884" w:type="dxa"/>
            <w:tcBorders>
              <w:top w:val="nil"/>
              <w:left w:val="nil"/>
              <w:right w:val="nil"/>
            </w:tcBorders>
            <w:shd w:val="clear" w:color="auto" w:fill="auto"/>
            <w:tcMar>
              <w:left w:w="43" w:type="dxa"/>
              <w:right w:w="43" w:type="dxa"/>
            </w:tcMar>
            <w:vAlign w:val="center"/>
          </w:tcPr>
          <w:p w:rsidR="00A9307E" w:rsidRDefault="00A9307E" w:rsidP="00A9307E">
            <w:pPr>
              <w:jc w:val="right"/>
              <w:rPr>
                <w:sz w:val="14"/>
                <w:szCs w:val="14"/>
              </w:rPr>
            </w:pPr>
            <w:r>
              <w:rPr>
                <w:sz w:val="14"/>
                <w:szCs w:val="14"/>
              </w:rPr>
              <w:t>993</w:t>
            </w:r>
          </w:p>
        </w:tc>
        <w:tc>
          <w:tcPr>
            <w:tcW w:w="810"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321</w:t>
            </w:r>
          </w:p>
        </w:tc>
        <w:tc>
          <w:tcPr>
            <w:tcW w:w="736"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396</w:t>
            </w:r>
          </w:p>
        </w:tc>
        <w:tc>
          <w:tcPr>
            <w:tcW w:w="810"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418</w:t>
            </w:r>
          </w:p>
        </w:tc>
        <w:tc>
          <w:tcPr>
            <w:tcW w:w="76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380</w:t>
            </w:r>
          </w:p>
        </w:tc>
      </w:tr>
      <w:tr w:rsidR="00A9307E" w:rsidRPr="009B6E8A" w:rsidTr="00D8784E">
        <w:trPr>
          <w:trHeight w:hRule="exact" w:val="236"/>
          <w:jc w:val="center"/>
        </w:trPr>
        <w:tc>
          <w:tcPr>
            <w:tcW w:w="236" w:type="dxa"/>
            <w:tcBorders>
              <w:top w:val="nil"/>
              <w:left w:val="nil"/>
            </w:tcBorders>
            <w:shd w:val="clear" w:color="auto" w:fill="auto"/>
            <w:noWrap/>
            <w:vAlign w:val="center"/>
            <w:hideMark/>
          </w:tcPr>
          <w:p w:rsidR="00A9307E" w:rsidRPr="00C12EB9" w:rsidRDefault="00A9307E" w:rsidP="00A9307E">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A9307E" w:rsidRDefault="00A9307E" w:rsidP="00A9307E">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343,516</w:t>
            </w:r>
          </w:p>
        </w:tc>
        <w:tc>
          <w:tcPr>
            <w:tcW w:w="81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325,508</w:t>
            </w:r>
          </w:p>
        </w:tc>
        <w:tc>
          <w:tcPr>
            <w:tcW w:w="74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378,302</w:t>
            </w:r>
          </w:p>
        </w:tc>
        <w:tc>
          <w:tcPr>
            <w:tcW w:w="756"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325,508</w:t>
            </w:r>
          </w:p>
        </w:tc>
        <w:tc>
          <w:tcPr>
            <w:tcW w:w="884" w:type="dxa"/>
            <w:tcBorders>
              <w:top w:val="nil"/>
              <w:left w:val="nil"/>
              <w:right w:val="nil"/>
            </w:tcBorders>
            <w:shd w:val="clear" w:color="auto" w:fill="auto"/>
            <w:tcMar>
              <w:left w:w="43" w:type="dxa"/>
              <w:right w:w="43" w:type="dxa"/>
            </w:tcMar>
            <w:vAlign w:val="center"/>
          </w:tcPr>
          <w:p w:rsidR="00A9307E" w:rsidRDefault="00A9307E" w:rsidP="00A9307E">
            <w:pPr>
              <w:jc w:val="right"/>
              <w:rPr>
                <w:sz w:val="14"/>
                <w:szCs w:val="14"/>
              </w:rPr>
            </w:pPr>
            <w:r>
              <w:rPr>
                <w:sz w:val="14"/>
                <w:szCs w:val="14"/>
              </w:rPr>
              <w:t>355,246</w:t>
            </w:r>
          </w:p>
        </w:tc>
        <w:tc>
          <w:tcPr>
            <w:tcW w:w="810" w:type="dxa"/>
            <w:tcBorders>
              <w:top w:val="nil"/>
              <w:left w:val="nil"/>
              <w:right w:val="nil"/>
            </w:tcBorders>
            <w:shd w:val="clear" w:color="auto" w:fill="auto"/>
            <w:noWrap/>
            <w:tcMar>
              <w:left w:w="43" w:type="dxa"/>
              <w:right w:w="43" w:type="dxa"/>
            </w:tcMar>
            <w:vAlign w:val="center"/>
            <w:hideMark/>
          </w:tcPr>
          <w:p w:rsidR="00A9307E" w:rsidRDefault="00A9307E" w:rsidP="00A9307E">
            <w:pPr>
              <w:jc w:val="right"/>
              <w:rPr>
                <w:sz w:val="14"/>
                <w:szCs w:val="14"/>
              </w:rPr>
            </w:pPr>
            <w:r>
              <w:rPr>
                <w:sz w:val="14"/>
                <w:szCs w:val="14"/>
              </w:rPr>
              <w:t>377,516</w:t>
            </w:r>
          </w:p>
        </w:tc>
        <w:tc>
          <w:tcPr>
            <w:tcW w:w="736"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450,784</w:t>
            </w:r>
          </w:p>
        </w:tc>
        <w:tc>
          <w:tcPr>
            <w:tcW w:w="810"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378,302</w:t>
            </w:r>
          </w:p>
        </w:tc>
        <w:tc>
          <w:tcPr>
            <w:tcW w:w="761" w:type="dxa"/>
            <w:tcBorders>
              <w:top w:val="nil"/>
              <w:left w:val="nil"/>
              <w:right w:val="nil"/>
            </w:tcBorders>
            <w:shd w:val="clear" w:color="auto" w:fill="auto"/>
            <w:noWrap/>
            <w:tcMar>
              <w:left w:w="43" w:type="dxa"/>
              <w:right w:w="43" w:type="dxa"/>
            </w:tcMar>
            <w:vAlign w:val="center"/>
          </w:tcPr>
          <w:p w:rsidR="00A9307E" w:rsidRDefault="00A9307E" w:rsidP="00A9307E">
            <w:pPr>
              <w:jc w:val="right"/>
              <w:rPr>
                <w:sz w:val="14"/>
                <w:szCs w:val="14"/>
              </w:rPr>
            </w:pPr>
            <w:r>
              <w:rPr>
                <w:sz w:val="14"/>
                <w:szCs w:val="14"/>
              </w:rPr>
              <w:t>390,260</w:t>
            </w:r>
          </w:p>
        </w:tc>
      </w:tr>
      <w:tr w:rsidR="00A9307E" w:rsidRPr="009B6E8A" w:rsidTr="00D8784E">
        <w:trPr>
          <w:trHeight w:hRule="exact" w:val="198"/>
          <w:jc w:val="center"/>
        </w:trPr>
        <w:tc>
          <w:tcPr>
            <w:tcW w:w="236" w:type="dxa"/>
            <w:tcBorders>
              <w:top w:val="nil"/>
              <w:left w:val="nil"/>
              <w:bottom w:val="single" w:sz="12" w:space="0" w:color="auto"/>
            </w:tcBorders>
            <w:shd w:val="clear" w:color="auto" w:fill="auto"/>
            <w:noWrap/>
            <w:vAlign w:val="center"/>
            <w:hideMark/>
          </w:tcPr>
          <w:p w:rsidR="00A9307E" w:rsidRDefault="00A9307E" w:rsidP="00A9307E">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A9307E" w:rsidRDefault="00A9307E" w:rsidP="00A9307E">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A9307E" w:rsidRDefault="00A9307E" w:rsidP="00A9307E">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6,909,937</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A9307E" w:rsidRDefault="00A9307E" w:rsidP="00A9307E">
            <w:pPr>
              <w:jc w:val="right"/>
              <w:rPr>
                <w:b/>
                <w:bCs/>
                <w:sz w:val="14"/>
                <w:szCs w:val="14"/>
              </w:rPr>
            </w:pPr>
            <w:r>
              <w:rPr>
                <w:b/>
                <w:bCs/>
                <w:sz w:val="14"/>
                <w:szCs w:val="14"/>
              </w:rPr>
              <w:t>6,142,016</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307E" w:rsidRDefault="00A9307E" w:rsidP="00A9307E">
            <w:pPr>
              <w:jc w:val="right"/>
              <w:rPr>
                <w:b/>
                <w:bCs/>
                <w:sz w:val="14"/>
                <w:szCs w:val="14"/>
              </w:rPr>
            </w:pPr>
            <w:r>
              <w:rPr>
                <w:b/>
                <w:bCs/>
                <w:sz w:val="14"/>
                <w:szCs w:val="14"/>
              </w:rPr>
              <w:t>6,432,112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9307E" w:rsidRDefault="00A9307E" w:rsidP="00A9307E">
            <w:pPr>
              <w:jc w:val="right"/>
              <w:rPr>
                <w:b/>
                <w:bCs/>
                <w:sz w:val="14"/>
                <w:szCs w:val="14"/>
              </w:rPr>
            </w:pPr>
            <w:r>
              <w:rPr>
                <w:b/>
                <w:bCs/>
                <w:sz w:val="14"/>
                <w:szCs w:val="14"/>
              </w:rPr>
              <w:t>6,814,968</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6,943,025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6,909,937</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A9307E" w:rsidRDefault="00A9307E" w:rsidP="00A9307E">
            <w:pPr>
              <w:jc w:val="right"/>
              <w:rPr>
                <w:b/>
                <w:bCs/>
                <w:sz w:val="14"/>
                <w:szCs w:val="14"/>
              </w:rPr>
            </w:pPr>
            <w:r>
              <w:rPr>
                <w:b/>
                <w:bCs/>
                <w:sz w:val="14"/>
                <w:szCs w:val="14"/>
              </w:rPr>
              <w:t>7,284,559</w:t>
            </w:r>
          </w:p>
        </w:tc>
      </w:tr>
      <w:tr w:rsidR="00A9307E" w:rsidRPr="009B6E8A" w:rsidTr="00BB72C2">
        <w:trPr>
          <w:trHeight w:val="825"/>
          <w:jc w:val="center"/>
        </w:trPr>
        <w:tc>
          <w:tcPr>
            <w:tcW w:w="10497" w:type="dxa"/>
            <w:gridSpan w:val="11"/>
            <w:tcBorders>
              <w:top w:val="nil"/>
              <w:left w:val="nil"/>
              <w:right w:val="nil"/>
            </w:tcBorders>
            <w:shd w:val="clear" w:color="auto" w:fill="auto"/>
            <w:noWrap/>
            <w:hideMark/>
          </w:tcPr>
          <w:p w:rsidR="00A9307E" w:rsidRPr="00916320" w:rsidRDefault="00A9307E" w:rsidP="00A9307E">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A9307E" w:rsidRDefault="00A9307E" w:rsidP="00A9307E">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A9307E" w:rsidRPr="00916320" w:rsidRDefault="00A9307E" w:rsidP="00A9307E">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A9307E" w:rsidRPr="00916320" w:rsidRDefault="00A9307E" w:rsidP="00A9307E">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A9307E" w:rsidRPr="006F5B38" w:rsidRDefault="00A9307E" w:rsidP="00A9307E">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8"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4"/>
        <w:gridCol w:w="777"/>
        <w:gridCol w:w="769"/>
        <w:gridCol w:w="786"/>
        <w:gridCol w:w="810"/>
        <w:gridCol w:w="722"/>
        <w:gridCol w:w="721"/>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rsidTr="007C3447">
        <w:trPr>
          <w:trHeight w:hRule="exact" w:val="259"/>
          <w:jc w:val="center"/>
        </w:trPr>
        <w:tc>
          <w:tcPr>
            <w:tcW w:w="3334" w:type="dxa"/>
            <w:vMerge w:val="restart"/>
            <w:tcBorders>
              <w:top w:val="single" w:sz="12" w:space="0" w:color="auto"/>
              <w:left w:val="nil"/>
              <w:right w:val="single" w:sz="4" w:space="0" w:color="auto"/>
            </w:tcBorders>
            <w:shd w:val="clear" w:color="auto" w:fill="auto"/>
            <w:noWrap/>
            <w:vAlign w:val="center"/>
            <w:hideMark/>
          </w:tcPr>
          <w:p w:rsidR="00A45131" w:rsidRPr="00247299" w:rsidRDefault="00A45131" w:rsidP="007B4774">
            <w:pPr>
              <w:rPr>
                <w:b/>
                <w:bCs/>
                <w:color w:val="auto"/>
                <w:sz w:val="14"/>
                <w:szCs w:val="14"/>
              </w:rPr>
            </w:pPr>
          </w:p>
          <w:p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5131" w:rsidRPr="00AE17B5" w:rsidRDefault="00A45131" w:rsidP="00E6261A">
            <w:pPr>
              <w:rPr>
                <w:b/>
                <w:bCs/>
                <w:color w:val="auto"/>
                <w:szCs w:val="16"/>
              </w:rPr>
            </w:pPr>
            <w:r>
              <w:rPr>
                <w:b/>
                <w:bCs/>
                <w:color w:val="auto"/>
                <w:szCs w:val="16"/>
              </w:rPr>
              <w:t>2020</w:t>
            </w:r>
          </w:p>
        </w:tc>
        <w:tc>
          <w:tcPr>
            <w:tcW w:w="2905" w:type="dxa"/>
            <w:gridSpan w:val="4"/>
            <w:tcBorders>
              <w:top w:val="single" w:sz="12" w:space="0" w:color="auto"/>
              <w:left w:val="single" w:sz="4" w:space="0" w:color="auto"/>
              <w:bottom w:val="single" w:sz="4" w:space="0" w:color="auto"/>
              <w:right w:val="nil"/>
            </w:tcBorders>
            <w:shd w:val="clear" w:color="auto" w:fill="auto"/>
            <w:vAlign w:val="center"/>
          </w:tcPr>
          <w:p w:rsidR="00A45131" w:rsidRPr="00AE17B5" w:rsidRDefault="00A45131" w:rsidP="00E6261A">
            <w:pPr>
              <w:rPr>
                <w:b/>
                <w:bCs/>
                <w:color w:val="auto"/>
                <w:szCs w:val="16"/>
              </w:rPr>
            </w:pPr>
            <w:r>
              <w:rPr>
                <w:b/>
                <w:bCs/>
                <w:color w:val="auto"/>
                <w:szCs w:val="16"/>
              </w:rPr>
              <w:t>2021</w:t>
            </w:r>
          </w:p>
        </w:tc>
      </w:tr>
      <w:tr w:rsidR="00A9307E" w:rsidRPr="00247299" w:rsidTr="007C3447">
        <w:trPr>
          <w:trHeight w:hRule="exact" w:val="259"/>
          <w:jc w:val="center"/>
        </w:trPr>
        <w:tc>
          <w:tcPr>
            <w:tcW w:w="3334" w:type="dxa"/>
            <w:vMerge/>
            <w:tcBorders>
              <w:left w:val="nil"/>
              <w:bottom w:val="single" w:sz="12" w:space="0" w:color="auto"/>
              <w:right w:val="single" w:sz="4" w:space="0" w:color="auto"/>
            </w:tcBorders>
            <w:shd w:val="clear" w:color="auto" w:fill="auto"/>
            <w:vAlign w:val="center"/>
            <w:hideMark/>
          </w:tcPr>
          <w:p w:rsidR="00A9307E" w:rsidRPr="00247299" w:rsidRDefault="00A9307E" w:rsidP="00A9307E">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9307E" w:rsidRPr="006619BF" w:rsidRDefault="00A9307E" w:rsidP="00A9307E">
            <w:pPr>
              <w:jc w:val="right"/>
              <w:rPr>
                <w:b/>
                <w:bCs/>
                <w:color w:val="auto"/>
                <w:sz w:val="14"/>
                <w:szCs w:val="14"/>
              </w:rPr>
            </w:pPr>
            <w:r>
              <w:rPr>
                <w:b/>
                <w:bCs/>
                <w:color w:val="auto"/>
                <w:sz w:val="14"/>
                <w:szCs w:val="14"/>
              </w:rPr>
              <w:t>FY19</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9307E" w:rsidRPr="006619BF" w:rsidRDefault="00A9307E" w:rsidP="00A9307E">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9307E" w:rsidRPr="006619BF" w:rsidRDefault="00A9307E" w:rsidP="00A9307E">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9307E" w:rsidRPr="006619BF" w:rsidRDefault="00A9307E" w:rsidP="00A9307E">
            <w:pPr>
              <w:jc w:val="right"/>
              <w:rPr>
                <w:b/>
                <w:color w:val="auto"/>
                <w:sz w:val="14"/>
                <w:szCs w:val="14"/>
              </w:rPr>
            </w:pPr>
            <w:r>
              <w:rPr>
                <w:b/>
                <w:color w:val="auto"/>
                <w:sz w:val="14"/>
                <w:szCs w:val="14"/>
              </w:rPr>
              <w:t>Jun</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9307E" w:rsidRPr="006619BF" w:rsidRDefault="00A9307E" w:rsidP="00A9307E">
            <w:pPr>
              <w:jc w:val="right"/>
              <w:rPr>
                <w:b/>
                <w:color w:val="auto"/>
                <w:sz w:val="14"/>
                <w:szCs w:val="14"/>
              </w:rPr>
            </w:pPr>
            <w:r>
              <w:rPr>
                <w:b/>
                <w:color w:val="auto"/>
                <w:sz w:val="14"/>
                <w:szCs w:val="14"/>
              </w:rPr>
              <w:t>Jul</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9307E" w:rsidRPr="00946E91" w:rsidRDefault="00A9307E" w:rsidP="00A9307E">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A9307E" w:rsidRPr="00946E91" w:rsidRDefault="00A9307E" w:rsidP="00A9307E">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A9307E" w:rsidRPr="00AA14DB" w:rsidRDefault="00A9307E" w:rsidP="00A9307E">
            <w:pPr>
              <w:jc w:val="right"/>
              <w:rPr>
                <w:b/>
                <w:color w:val="auto"/>
                <w:sz w:val="14"/>
                <w:szCs w:val="14"/>
                <w:vertAlign w:val="superscript"/>
              </w:rPr>
            </w:pPr>
            <w:r>
              <w:rPr>
                <w:b/>
                <w:color w:val="auto"/>
                <w:sz w:val="14"/>
                <w:szCs w:val="14"/>
              </w:rPr>
              <w:t>Jun</w:t>
            </w:r>
            <w:r>
              <w:rPr>
                <w:b/>
                <w:color w:val="auto"/>
                <w:sz w:val="14"/>
                <w:szCs w:val="14"/>
                <w:vertAlign w:val="superscript"/>
              </w:rPr>
              <w:t xml:space="preserve"> R </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A9307E" w:rsidRPr="00A9307E" w:rsidRDefault="00A9307E" w:rsidP="00A9307E">
            <w:pPr>
              <w:jc w:val="right"/>
              <w:rPr>
                <w:b/>
                <w:color w:val="auto"/>
                <w:sz w:val="14"/>
                <w:szCs w:val="14"/>
                <w:vertAlign w:val="superscript"/>
              </w:rPr>
            </w:pPr>
            <w:r>
              <w:rPr>
                <w:b/>
                <w:color w:val="auto"/>
                <w:sz w:val="14"/>
                <w:szCs w:val="14"/>
              </w:rPr>
              <w:t>Jul</w:t>
            </w:r>
            <w:r>
              <w:rPr>
                <w:b/>
                <w:color w:val="auto"/>
                <w:sz w:val="14"/>
                <w:szCs w:val="14"/>
                <w:vertAlign w:val="superscript"/>
              </w:rPr>
              <w:t xml:space="preserve"> P</w:t>
            </w:r>
          </w:p>
        </w:tc>
      </w:tr>
      <w:tr w:rsidR="00A9307E" w:rsidRPr="00247299" w:rsidTr="007C3447">
        <w:trPr>
          <w:trHeight w:hRule="exact" w:val="230"/>
          <w:jc w:val="center"/>
        </w:trPr>
        <w:tc>
          <w:tcPr>
            <w:tcW w:w="3334" w:type="dxa"/>
            <w:tcBorders>
              <w:top w:val="single" w:sz="12" w:space="0" w:color="auto"/>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A9307E" w:rsidRPr="00247299" w:rsidRDefault="00A9307E" w:rsidP="00A9307E">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A9307E" w:rsidRPr="00247299" w:rsidRDefault="00A9307E" w:rsidP="00A9307E">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A9307E" w:rsidRPr="00247299" w:rsidRDefault="00A9307E" w:rsidP="00A9307E">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A9307E" w:rsidRPr="00247299" w:rsidRDefault="00A9307E" w:rsidP="00A9307E">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rsidR="00A9307E" w:rsidRPr="00247299" w:rsidRDefault="00A9307E" w:rsidP="00A9307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9307E" w:rsidRPr="00247299" w:rsidRDefault="00A9307E" w:rsidP="00A9307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9307E" w:rsidRPr="00247299" w:rsidRDefault="00A9307E" w:rsidP="00A9307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9307E" w:rsidRPr="00247299" w:rsidRDefault="00A9307E" w:rsidP="00A9307E">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A9307E" w:rsidRPr="00247299" w:rsidRDefault="00A9307E" w:rsidP="00A9307E">
            <w:pPr>
              <w:jc w:val="right"/>
              <w:rPr>
                <w:rFonts w:ascii="Calibri" w:hAnsi="Calibri"/>
                <w:sz w:val="22"/>
                <w:szCs w:val="22"/>
              </w:rPr>
            </w:pP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4,950,039</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6,142,016</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6,432,112</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6,814,968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6,943,025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6,909,937</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7,284,559</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33,636</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41,218</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54,153</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61,403</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62,723</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68,004</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66,461</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12,814,820</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17,324,703</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14,724,770</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14,257,852</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15,664,376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15,611,111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17,324,703</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16,529,528</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1,109,780</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1,046,156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1,074,511</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1,100,517</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1,018,991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1,023,752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1,046,156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i/>
                <w:iCs/>
                <w:sz w:val="14"/>
                <w:szCs w:val="14"/>
              </w:rPr>
            </w:pPr>
            <w:r>
              <w:rPr>
                <w:i/>
                <w:iCs/>
                <w:sz w:val="14"/>
                <w:szCs w:val="14"/>
              </w:rPr>
              <w:t>1,067,184</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24,302,645</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20,908,003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20,744,117</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22,540,748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22,616,859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24,302,645</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23,880,548</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20"/>
              </w:rPr>
            </w:pP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(1,507,081)</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724,814</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(516,153)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(221,350)</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464,469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469,939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724,814</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840,836</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(1,127,203)</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930,600</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(181,347)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13,239</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600,834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669,602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930,600</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1,044,609</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(379,879)</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(205,786)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(334,806)</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(234,589)</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(136,365)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(199,663)</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(205,786)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(203,773)</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19,305,575</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23,577,830</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21,424,157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20,965,467</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22,076,279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22,146,920</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23,577,830</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23,039,713</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7,017,743</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6,451,291</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6,984,573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6,809,128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6,427,424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6,490,762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6,451,291</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6,452,365</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12,287,832</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17,126,539</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14,439,583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14,156,340</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15,648,854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15,656,158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17,126,539</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16,587,348</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12,336,664</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16,357,328</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14,547,233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14,339,559</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15,166,978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15,156,465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16,357,328</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16,141,427</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11,596,468</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15,465,672</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13,748,309</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13,547,912</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14,390,942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14,264,682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15,465,672</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15,257,224</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6,691,870</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5,419,751</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6,538,797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6,101,238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5,374,451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4,696,496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5,419,751</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4,843,318</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6,833,275</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5,799,536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6,750,123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6,354,538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5,945,105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5,193,897</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5,799,536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5,319,525</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(967,305)</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(926,776)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(565,997)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(673,491)</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(905,028)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(1,706,875)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(926,776)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(1,417,236)</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(127,135)</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(346,850)</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(192,737)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(222,838)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(516,505)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(445,057)</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(346,850)</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(434,344)</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(19,072)</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(37,307)</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(39,105)</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(46,804)</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(74,266)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(63,930)</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(37,307)</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(49,111)</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(16,983)</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(31,540)</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(8,321)</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(9,118)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(38,572)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(24,602)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(31,540)</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(27,680)</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(70,339)</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(207,104)</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(81,570)</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(110,340)</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(308,584)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(289,581)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(207,104)</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(274,439)</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(20,741)</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(70,899)</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(63,741)</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(56,576)</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(95,082)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(66,945)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(70,899)</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(83,114)</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(97)</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(12,368)</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(5,047)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(14,185)</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(25,725)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(29,538)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(12,368)</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(17,048)</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(14,174)</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(20,566)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(13,543)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(16,278)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(28,424)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(22,805)</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(20,566)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(24,815)</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4,904,598</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10,045,921</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7,209,512</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7,446,674</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9,016,491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9,568,186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10,045,921</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10,413,905</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5,753,677</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11,191,007</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8,222,465</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8,446,902</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10,058,866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10,626,223</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11,191,007</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11,533,566</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(1,228,344)</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(1,649,911)</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(1,371,965)</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(1,352,680)</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(1,458,661)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(1,490,138)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(1,649,911)</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(1,642,376)</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(849,079)</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(1,145,086)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(1,012,953)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(1,000,228)</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(1,042,374)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(1,058,037)</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(1,145,086)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(1,119,661)</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(850,103)</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(1,146,110)</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(1,013,977)</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(1,001,252)</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(1,043,398)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(1,059,061)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(1,146,110)</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(1,120,685)</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756,416</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903,999</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813,435</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806,311</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784,664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903,484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903,999</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898,934</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(16,220)</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(12,344)</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(14,510)</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(14,665)</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(8,628)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(11,702)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(12,344)</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(14,731)</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r>
              <w:rPr>
                <w:b/>
                <w:bCs/>
                <w:sz w:val="14"/>
                <w:szCs w:val="14"/>
              </w:rPr>
              <w:t>8,072,803</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9,092,306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8,372,428</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8,263,671</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8,806,978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8,836,629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9,092,306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8,943,995</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r>
              <w:rPr>
                <w:b/>
                <w:bCs/>
                <w:sz w:val="14"/>
                <w:szCs w:val="14"/>
              </w:rPr>
              <w:t>6,666,505</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7,629,069</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6,862,862</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6,751,584</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7,317,244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7,352,469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7,629,069</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7,484,839</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5,276,240</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5,685,109</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5,305,518</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5,202,664</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5,520,836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5,536,516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5,685,109</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5,525,504</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835,105</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1,030,612</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868,473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865,896</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972,218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981,436</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1,030,612</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1,036,095</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555,160</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913,348</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688,871</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683,024</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824,189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834,517</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913,348</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923,239</w:t>
            </w:r>
          </w:p>
        </w:tc>
      </w:tr>
      <w:tr w:rsidR="00A9307E"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A9307E" w:rsidRPr="00AC5C7D" w:rsidRDefault="00A9307E" w:rsidP="00A9307E">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1,394,221</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1,436,745</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1,490,522</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1,493,041</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1,463,877</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1,458,174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1,436,745</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1,432,273</w:t>
            </w:r>
          </w:p>
        </w:tc>
      </w:tr>
      <w:tr w:rsidR="00A9307E" w:rsidRPr="00247299" w:rsidTr="007C3447">
        <w:trPr>
          <w:trHeight w:hRule="exact" w:val="369"/>
          <w:jc w:val="center"/>
        </w:trPr>
        <w:tc>
          <w:tcPr>
            <w:tcW w:w="3334" w:type="dxa"/>
            <w:tcBorders>
              <w:top w:val="nil"/>
              <w:left w:val="nil"/>
              <w:bottom w:val="nil"/>
              <w:right w:val="nil"/>
            </w:tcBorders>
            <w:shd w:val="clear" w:color="auto" w:fill="auto"/>
            <w:noWrap/>
            <w:tcMar>
              <w:left w:w="58" w:type="dxa"/>
              <w:right w:w="0" w:type="dxa"/>
            </w:tcMar>
            <w:vAlign w:val="center"/>
            <w:hideMark/>
          </w:tcPr>
          <w:p w:rsidR="00A9307E" w:rsidRPr="00AC5C7D" w:rsidRDefault="00A9307E" w:rsidP="00A9307E">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(24,244)</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r>
              <w:rPr>
                <w:b/>
                <w:bCs/>
                <w:sz w:val="14"/>
                <w:szCs w:val="14"/>
              </w:rPr>
              <w:t>36,321</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50,736</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43,288</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43,289</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50,101</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50,229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50,736</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51,126</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r>
              <w:rPr>
                <w:b/>
                <w:bCs/>
                <w:sz w:val="14"/>
                <w:szCs w:val="14"/>
              </w:rPr>
              <w:t>(1,103,892)</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(1,871,804)</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(1,495,505)</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(1,637,762)</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(1,897,677)</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(1,846,173)</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(1,871,804)</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(2,045,708)</w:t>
            </w:r>
          </w:p>
        </w:tc>
      </w:tr>
      <w:tr w:rsidR="00A9307E"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24,302,645</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20,908,003</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20,744,117</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r>
              <w:rPr>
                <w:b/>
                <w:bCs/>
                <w:sz w:val="14"/>
                <w:szCs w:val="14"/>
              </w:rPr>
              <w:t>22,540,748</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22,616,859</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r>
              <w:rPr>
                <w:b/>
                <w:bCs/>
                <w:sz w:val="14"/>
                <w:szCs w:val="14"/>
              </w:rPr>
              <w:t>24,302,645</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b/>
                <w:bCs/>
                <w:sz w:val="14"/>
                <w:szCs w:val="14"/>
              </w:rPr>
            </w:pPr>
            <w:r>
              <w:rPr>
                <w:b/>
                <w:bCs/>
                <w:sz w:val="14"/>
                <w:szCs w:val="14"/>
              </w:rPr>
              <w:t>23,880,548</w:t>
            </w:r>
          </w:p>
        </w:tc>
      </w:tr>
      <w:tr w:rsidR="00A9307E" w:rsidRPr="00247299" w:rsidTr="00755D60">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20"/>
              </w:rPr>
            </w:pPr>
          </w:p>
        </w:tc>
      </w:tr>
      <w:tr w:rsidR="00A9307E" w:rsidRPr="00247299" w:rsidTr="00502E65">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A9307E" w:rsidRPr="00AC5C7D" w:rsidRDefault="00A9307E" w:rsidP="00A9307E">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2,912</w:t>
            </w:r>
          </w:p>
        </w:tc>
        <w:tc>
          <w:tcPr>
            <w:tcW w:w="769"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58,511</w:t>
            </w:r>
          </w:p>
        </w:tc>
        <w:tc>
          <w:tcPr>
            <w:tcW w:w="810"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83,618</w:t>
            </w:r>
          </w:p>
        </w:tc>
        <w:tc>
          <w:tcPr>
            <w:tcW w:w="722"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78,966</w:t>
            </w:r>
          </w:p>
        </w:tc>
        <w:tc>
          <w:tcPr>
            <w:tcW w:w="721" w:type="dxa"/>
            <w:tcBorders>
              <w:top w:val="nil"/>
              <w:left w:val="nil"/>
              <w:bottom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192,882</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241,750</w:t>
            </w:r>
          </w:p>
        </w:tc>
        <w:tc>
          <w:tcPr>
            <w:tcW w:w="720" w:type="dxa"/>
            <w:tcBorders>
              <w:top w:val="nil"/>
              <w:left w:val="nil"/>
              <w:bottom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58,511</w:t>
            </w:r>
          </w:p>
        </w:tc>
        <w:tc>
          <w:tcPr>
            <w:tcW w:w="744" w:type="dxa"/>
            <w:tcBorders>
              <w:top w:val="nil"/>
              <w:left w:val="nil"/>
              <w:bottom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68,239</w:t>
            </w:r>
          </w:p>
        </w:tc>
      </w:tr>
      <w:tr w:rsidR="00A9307E" w:rsidRPr="00247299" w:rsidTr="00502E65">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A9307E" w:rsidRPr="00AC5C7D" w:rsidRDefault="00A9307E" w:rsidP="00A9307E">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4,363,090</w:t>
            </w:r>
          </w:p>
        </w:tc>
        <w:tc>
          <w:tcPr>
            <w:tcW w:w="769"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4,956,617</w:t>
            </w:r>
          </w:p>
        </w:tc>
        <w:tc>
          <w:tcPr>
            <w:tcW w:w="786"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5,979,180</w:t>
            </w:r>
          </w:p>
        </w:tc>
        <w:tc>
          <w:tcPr>
            <w:tcW w:w="810" w:type="dxa"/>
            <w:tcBorders>
              <w:top w:val="nil"/>
              <w:left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4,956,617</w:t>
            </w:r>
          </w:p>
        </w:tc>
        <w:tc>
          <w:tcPr>
            <w:tcW w:w="722"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4,588,330</w:t>
            </w:r>
          </w:p>
        </w:tc>
        <w:tc>
          <w:tcPr>
            <w:tcW w:w="721" w:type="dxa"/>
            <w:tcBorders>
              <w:top w:val="nil"/>
              <w:left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5,164,466</w:t>
            </w:r>
          </w:p>
        </w:tc>
        <w:tc>
          <w:tcPr>
            <w:tcW w:w="720"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5,593,779</w:t>
            </w:r>
          </w:p>
        </w:tc>
        <w:tc>
          <w:tcPr>
            <w:tcW w:w="720"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5,979,180</w:t>
            </w:r>
          </w:p>
        </w:tc>
        <w:tc>
          <w:tcPr>
            <w:tcW w:w="744" w:type="dxa"/>
            <w:tcBorders>
              <w:top w:val="nil"/>
              <w:left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6,624,014</w:t>
            </w:r>
          </w:p>
        </w:tc>
      </w:tr>
      <w:tr w:rsidR="00A9307E" w:rsidRPr="00247299" w:rsidTr="00502E65">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A9307E" w:rsidRPr="00B53708" w:rsidRDefault="00A9307E" w:rsidP="00A9307E">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A9307E" w:rsidRDefault="00A9307E" w:rsidP="00A9307E">
            <w:pPr>
              <w:jc w:val="right"/>
              <w:rPr>
                <w:sz w:val="14"/>
                <w:szCs w:val="14"/>
              </w:rPr>
            </w:pPr>
            <w:r>
              <w:rPr>
                <w:sz w:val="14"/>
                <w:szCs w:val="14"/>
              </w:rPr>
              <w:t>11,545,893</w:t>
            </w:r>
          </w:p>
        </w:tc>
        <w:tc>
          <w:tcPr>
            <w:tcW w:w="769"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13,471,051</w:t>
            </w:r>
          </w:p>
        </w:tc>
        <w:tc>
          <w:tcPr>
            <w:tcW w:w="786"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15,340,092</w:t>
            </w:r>
          </w:p>
        </w:tc>
        <w:tc>
          <w:tcPr>
            <w:tcW w:w="810" w:type="dxa"/>
            <w:tcBorders>
              <w:top w:val="nil"/>
              <w:left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13,471,051</w:t>
            </w:r>
          </w:p>
        </w:tc>
        <w:tc>
          <w:tcPr>
            <w:tcW w:w="722"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13,259,572</w:t>
            </w:r>
          </w:p>
        </w:tc>
        <w:tc>
          <w:tcPr>
            <w:tcW w:w="721" w:type="dxa"/>
            <w:tcBorders>
              <w:top w:val="nil"/>
              <w:left w:val="nil"/>
              <w:right w:val="nil"/>
            </w:tcBorders>
            <w:shd w:val="clear" w:color="auto" w:fill="auto"/>
            <w:tcMar>
              <w:left w:w="29" w:type="dxa"/>
              <w:right w:w="29" w:type="dxa"/>
            </w:tcMar>
            <w:vAlign w:val="center"/>
            <w:hideMark/>
          </w:tcPr>
          <w:p w:rsidR="00A9307E" w:rsidRDefault="00A9307E" w:rsidP="00A9307E">
            <w:pPr>
              <w:jc w:val="right"/>
              <w:rPr>
                <w:sz w:val="14"/>
                <w:szCs w:val="14"/>
              </w:rPr>
            </w:pPr>
            <w:r>
              <w:rPr>
                <w:sz w:val="14"/>
                <w:szCs w:val="14"/>
              </w:rPr>
              <w:t>14,144,706</w:t>
            </w:r>
          </w:p>
        </w:tc>
        <w:tc>
          <w:tcPr>
            <w:tcW w:w="720"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13,962,963</w:t>
            </w:r>
          </w:p>
        </w:tc>
        <w:tc>
          <w:tcPr>
            <w:tcW w:w="720" w:type="dxa"/>
            <w:tcBorders>
              <w:top w:val="nil"/>
              <w:left w:val="nil"/>
              <w:right w:val="nil"/>
            </w:tcBorders>
            <w:shd w:val="clear" w:color="auto" w:fill="auto"/>
            <w:tcMar>
              <w:left w:w="29" w:type="dxa"/>
              <w:right w:w="29" w:type="dxa"/>
            </w:tcMar>
            <w:vAlign w:val="center"/>
          </w:tcPr>
          <w:p w:rsidR="00A9307E" w:rsidRDefault="00A9307E" w:rsidP="00A9307E">
            <w:pPr>
              <w:jc w:val="right"/>
              <w:rPr>
                <w:sz w:val="14"/>
                <w:szCs w:val="14"/>
              </w:rPr>
            </w:pPr>
            <w:r>
              <w:rPr>
                <w:sz w:val="14"/>
                <w:szCs w:val="14"/>
              </w:rPr>
              <w:t>15,340,092</w:t>
            </w:r>
          </w:p>
        </w:tc>
        <w:tc>
          <w:tcPr>
            <w:tcW w:w="744" w:type="dxa"/>
            <w:tcBorders>
              <w:top w:val="nil"/>
              <w:left w:val="nil"/>
              <w:right w:val="nil"/>
            </w:tcBorders>
            <w:shd w:val="clear" w:color="auto" w:fill="auto"/>
            <w:noWrap/>
            <w:tcMar>
              <w:left w:w="29" w:type="dxa"/>
              <w:right w:w="29" w:type="dxa"/>
            </w:tcMar>
            <w:vAlign w:val="center"/>
          </w:tcPr>
          <w:p w:rsidR="00A9307E" w:rsidRDefault="00A9307E" w:rsidP="00A9307E">
            <w:pPr>
              <w:jc w:val="right"/>
              <w:rPr>
                <w:sz w:val="14"/>
                <w:szCs w:val="14"/>
              </w:rPr>
            </w:pPr>
            <w:r>
              <w:rPr>
                <w:sz w:val="14"/>
                <w:szCs w:val="14"/>
              </w:rPr>
              <w:t>15,103,762</w:t>
            </w:r>
          </w:p>
        </w:tc>
      </w:tr>
      <w:tr w:rsidR="00A9307E" w:rsidRPr="00247299" w:rsidTr="00502E65">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A9307E" w:rsidRPr="0018778B" w:rsidRDefault="00A9307E" w:rsidP="00A9307E">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A9307E" w:rsidRDefault="00A9307E" w:rsidP="00A9307E">
            <w:pPr>
              <w:jc w:val="right"/>
              <w:rPr>
                <w:i/>
                <w:iCs/>
                <w:sz w:val="14"/>
                <w:szCs w:val="14"/>
              </w:rPr>
            </w:pPr>
            <w:r>
              <w:rPr>
                <w:i/>
                <w:iCs/>
                <w:sz w:val="14"/>
                <w:szCs w:val="14"/>
              </w:rPr>
              <w:t>6,688,958</w:t>
            </w:r>
          </w:p>
        </w:tc>
        <w:tc>
          <w:tcPr>
            <w:tcW w:w="769" w:type="dxa"/>
            <w:tcBorders>
              <w:top w:val="nil"/>
              <w:left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6,455,179</w:t>
            </w:r>
          </w:p>
        </w:tc>
        <w:tc>
          <w:tcPr>
            <w:tcW w:w="786" w:type="dxa"/>
            <w:tcBorders>
              <w:top w:val="nil"/>
              <w:left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5,361,240</w:t>
            </w:r>
          </w:p>
        </w:tc>
        <w:tc>
          <w:tcPr>
            <w:tcW w:w="810" w:type="dxa"/>
            <w:tcBorders>
              <w:top w:val="nil"/>
              <w:left w:val="nil"/>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6,455,179</w:t>
            </w:r>
          </w:p>
        </w:tc>
        <w:tc>
          <w:tcPr>
            <w:tcW w:w="722" w:type="dxa"/>
            <w:tcBorders>
              <w:top w:val="nil"/>
              <w:left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6,022,272</w:t>
            </w:r>
          </w:p>
        </w:tc>
        <w:tc>
          <w:tcPr>
            <w:tcW w:w="721" w:type="dxa"/>
            <w:tcBorders>
              <w:top w:val="nil"/>
              <w:left w:val="nil"/>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5,181,569</w:t>
            </w:r>
          </w:p>
        </w:tc>
        <w:tc>
          <w:tcPr>
            <w:tcW w:w="720" w:type="dxa"/>
            <w:tcBorders>
              <w:top w:val="nil"/>
              <w:left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4,454,746</w:t>
            </w:r>
          </w:p>
        </w:tc>
        <w:tc>
          <w:tcPr>
            <w:tcW w:w="720" w:type="dxa"/>
            <w:tcBorders>
              <w:top w:val="nil"/>
              <w:left w:val="nil"/>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5,361,240</w:t>
            </w:r>
          </w:p>
        </w:tc>
        <w:tc>
          <w:tcPr>
            <w:tcW w:w="744" w:type="dxa"/>
            <w:tcBorders>
              <w:top w:val="nil"/>
              <w:left w:val="nil"/>
              <w:right w:val="nil"/>
            </w:tcBorders>
            <w:shd w:val="clear" w:color="auto" w:fill="auto"/>
            <w:noWrap/>
            <w:tcMar>
              <w:left w:w="29" w:type="dxa"/>
              <w:right w:w="29" w:type="dxa"/>
            </w:tcMar>
            <w:vAlign w:val="center"/>
          </w:tcPr>
          <w:p w:rsidR="00A9307E" w:rsidRDefault="00A9307E" w:rsidP="00A9307E">
            <w:pPr>
              <w:jc w:val="right"/>
              <w:rPr>
                <w:i/>
                <w:iCs/>
                <w:sz w:val="14"/>
                <w:szCs w:val="14"/>
              </w:rPr>
            </w:pPr>
            <w:r>
              <w:rPr>
                <w:i/>
                <w:iCs/>
                <w:sz w:val="14"/>
                <w:szCs w:val="14"/>
              </w:rPr>
              <w:t>4,775,079</w:t>
            </w:r>
          </w:p>
        </w:tc>
      </w:tr>
      <w:tr w:rsidR="00A9307E" w:rsidRPr="00247299" w:rsidTr="00502E65">
        <w:trPr>
          <w:trHeight w:hRule="exact" w:val="230"/>
          <w:jc w:val="center"/>
        </w:trPr>
        <w:tc>
          <w:tcPr>
            <w:tcW w:w="3334" w:type="dxa"/>
            <w:tcBorders>
              <w:left w:val="nil"/>
              <w:bottom w:val="single" w:sz="12" w:space="0" w:color="auto"/>
              <w:right w:val="nil"/>
            </w:tcBorders>
            <w:shd w:val="clear" w:color="auto" w:fill="auto"/>
            <w:noWrap/>
            <w:tcMar>
              <w:left w:w="86" w:type="dxa"/>
              <w:right w:w="29" w:type="dxa"/>
            </w:tcMar>
            <w:vAlign w:val="center"/>
            <w:hideMark/>
          </w:tcPr>
          <w:p w:rsidR="00A9307E" w:rsidRPr="0018778B" w:rsidRDefault="00A9307E" w:rsidP="00A9307E">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A9307E" w:rsidRDefault="00A9307E" w:rsidP="00A9307E">
            <w:pPr>
              <w:jc w:val="right"/>
              <w:rPr>
                <w:i/>
                <w:iCs/>
                <w:sz w:val="14"/>
                <w:szCs w:val="14"/>
              </w:rPr>
            </w:pPr>
            <w:r>
              <w:rPr>
                <w:i/>
                <w:iCs/>
                <w:sz w:val="14"/>
                <w:szCs w:val="14"/>
              </w:rPr>
              <w:t>4,856,935</w:t>
            </w:r>
          </w:p>
        </w:tc>
        <w:tc>
          <w:tcPr>
            <w:tcW w:w="769" w:type="dxa"/>
            <w:tcBorders>
              <w:left w:val="nil"/>
              <w:bottom w:val="single" w:sz="12" w:space="0" w:color="auto"/>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7,015,872</w:t>
            </w:r>
          </w:p>
        </w:tc>
        <w:tc>
          <w:tcPr>
            <w:tcW w:w="786" w:type="dxa"/>
            <w:tcBorders>
              <w:left w:val="nil"/>
              <w:bottom w:val="single" w:sz="12" w:space="0" w:color="auto"/>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9,978,852</w:t>
            </w:r>
          </w:p>
        </w:tc>
        <w:tc>
          <w:tcPr>
            <w:tcW w:w="810" w:type="dxa"/>
            <w:tcBorders>
              <w:left w:val="nil"/>
              <w:bottom w:val="single" w:sz="12" w:space="0" w:color="auto"/>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7,015,872</w:t>
            </w:r>
          </w:p>
        </w:tc>
        <w:tc>
          <w:tcPr>
            <w:tcW w:w="722" w:type="dxa"/>
            <w:tcBorders>
              <w:left w:val="nil"/>
              <w:bottom w:val="single" w:sz="12" w:space="0" w:color="auto"/>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7,237,301</w:t>
            </w:r>
          </w:p>
        </w:tc>
        <w:tc>
          <w:tcPr>
            <w:tcW w:w="721" w:type="dxa"/>
            <w:tcBorders>
              <w:left w:val="nil"/>
              <w:bottom w:val="single" w:sz="12" w:space="0" w:color="auto"/>
              <w:right w:val="nil"/>
            </w:tcBorders>
            <w:shd w:val="clear" w:color="auto" w:fill="auto"/>
            <w:tcMar>
              <w:left w:w="29" w:type="dxa"/>
              <w:right w:w="29" w:type="dxa"/>
            </w:tcMar>
            <w:vAlign w:val="center"/>
            <w:hideMark/>
          </w:tcPr>
          <w:p w:rsidR="00A9307E" w:rsidRDefault="00A9307E" w:rsidP="00A9307E">
            <w:pPr>
              <w:jc w:val="right"/>
              <w:rPr>
                <w:i/>
                <w:iCs/>
                <w:sz w:val="14"/>
                <w:szCs w:val="14"/>
              </w:rPr>
            </w:pPr>
            <w:r>
              <w:rPr>
                <w:i/>
                <w:iCs/>
                <w:sz w:val="14"/>
                <w:szCs w:val="14"/>
              </w:rPr>
              <w:t>8,963,137</w:t>
            </w:r>
          </w:p>
        </w:tc>
        <w:tc>
          <w:tcPr>
            <w:tcW w:w="720" w:type="dxa"/>
            <w:tcBorders>
              <w:left w:val="nil"/>
              <w:bottom w:val="single" w:sz="12" w:space="0" w:color="auto"/>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9,508,217</w:t>
            </w:r>
          </w:p>
        </w:tc>
        <w:tc>
          <w:tcPr>
            <w:tcW w:w="720" w:type="dxa"/>
            <w:tcBorders>
              <w:left w:val="nil"/>
              <w:bottom w:val="single" w:sz="12" w:space="0" w:color="auto"/>
              <w:right w:val="nil"/>
            </w:tcBorders>
            <w:shd w:val="clear" w:color="auto" w:fill="auto"/>
            <w:tcMar>
              <w:left w:w="29" w:type="dxa"/>
              <w:right w:w="29" w:type="dxa"/>
            </w:tcMar>
            <w:vAlign w:val="center"/>
          </w:tcPr>
          <w:p w:rsidR="00A9307E" w:rsidRDefault="00A9307E" w:rsidP="00A9307E">
            <w:pPr>
              <w:jc w:val="right"/>
              <w:rPr>
                <w:i/>
                <w:iCs/>
                <w:sz w:val="14"/>
                <w:szCs w:val="14"/>
              </w:rPr>
            </w:pPr>
            <w:r>
              <w:rPr>
                <w:i/>
                <w:iCs/>
                <w:sz w:val="14"/>
                <w:szCs w:val="14"/>
              </w:rPr>
              <w:t>9,978,852</w:t>
            </w:r>
          </w:p>
        </w:tc>
        <w:tc>
          <w:tcPr>
            <w:tcW w:w="744" w:type="dxa"/>
            <w:tcBorders>
              <w:left w:val="nil"/>
              <w:bottom w:val="single" w:sz="12" w:space="0" w:color="auto"/>
              <w:right w:val="nil"/>
            </w:tcBorders>
            <w:shd w:val="clear" w:color="auto" w:fill="auto"/>
            <w:noWrap/>
            <w:tcMar>
              <w:left w:w="29" w:type="dxa"/>
              <w:right w:w="29" w:type="dxa"/>
            </w:tcMar>
            <w:vAlign w:val="center"/>
          </w:tcPr>
          <w:p w:rsidR="00A9307E" w:rsidRDefault="00A9307E" w:rsidP="00A9307E">
            <w:pPr>
              <w:jc w:val="right"/>
              <w:rPr>
                <w:i/>
                <w:iCs/>
                <w:sz w:val="14"/>
                <w:szCs w:val="14"/>
              </w:rPr>
            </w:pPr>
            <w:r>
              <w:rPr>
                <w:i/>
                <w:iCs/>
                <w:sz w:val="14"/>
                <w:szCs w:val="14"/>
              </w:rPr>
              <w:t>10,328,683</w:t>
            </w:r>
          </w:p>
        </w:tc>
      </w:tr>
      <w:tr w:rsidR="00A9307E"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A9307E" w:rsidRPr="00247299" w:rsidRDefault="00A9307E" w:rsidP="00A9307E">
            <w:pPr>
              <w:jc w:val="right"/>
              <w:rPr>
                <w:color w:val="auto"/>
                <w:sz w:val="14"/>
                <w:szCs w:val="14"/>
              </w:rPr>
            </w:pPr>
            <w:r>
              <w:rPr>
                <w:sz w:val="14"/>
                <w:szCs w:val="14"/>
              </w:rPr>
              <w:t>Source: Statistics &amp; Data Warehouse Department SBP</w:t>
            </w:r>
            <w:r w:rsidRPr="00247299">
              <w:rPr>
                <w:color w:val="auto"/>
                <w:sz w:val="14"/>
                <w:szCs w:val="14"/>
              </w:rPr>
              <w:t> </w:t>
            </w:r>
          </w:p>
          <w:p w:rsidR="00A9307E" w:rsidRPr="00247299" w:rsidRDefault="00A9307E" w:rsidP="00A9307E">
            <w:pPr>
              <w:jc w:val="right"/>
              <w:rPr>
                <w:rFonts w:ascii="Calibri" w:hAnsi="Calibri"/>
                <w:sz w:val="22"/>
                <w:szCs w:val="22"/>
              </w:rPr>
            </w:pPr>
            <w:r w:rsidRPr="00247299">
              <w:rPr>
                <w:i/>
                <w:iCs/>
                <w:color w:val="auto"/>
                <w:sz w:val="14"/>
                <w:szCs w:val="14"/>
              </w:rPr>
              <w:t> </w:t>
            </w:r>
          </w:p>
        </w:tc>
      </w:tr>
      <w:tr w:rsidR="00A9307E" w:rsidRPr="00916320" w:rsidTr="00916320">
        <w:trPr>
          <w:trHeight w:val="1080"/>
          <w:jc w:val="center"/>
        </w:trPr>
        <w:tc>
          <w:tcPr>
            <w:tcW w:w="10103" w:type="dxa"/>
            <w:gridSpan w:val="10"/>
            <w:tcBorders>
              <w:top w:val="nil"/>
              <w:left w:val="nil"/>
              <w:bottom w:val="nil"/>
              <w:right w:val="nil"/>
            </w:tcBorders>
            <w:shd w:val="clear" w:color="auto" w:fill="auto"/>
            <w:hideMark/>
          </w:tcPr>
          <w:p w:rsidR="00A9307E" w:rsidRPr="00916320" w:rsidRDefault="00A9307E" w:rsidP="00A9307E">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A9307E" w:rsidRPr="00916320" w:rsidRDefault="00A9307E" w:rsidP="00A9307E">
            <w:pPr>
              <w:ind w:left="162" w:hanging="180"/>
              <w:jc w:val="left"/>
              <w:rPr>
                <w:color w:val="auto"/>
                <w:sz w:val="14"/>
                <w:szCs w:val="14"/>
              </w:rPr>
            </w:pPr>
            <w:r w:rsidRPr="00916320">
              <w:rPr>
                <w:color w:val="auto"/>
                <w:sz w:val="14"/>
                <w:szCs w:val="14"/>
              </w:rPr>
              <w:t>Note:-</w:t>
            </w:r>
          </w:p>
          <w:p w:rsidR="00A9307E" w:rsidRPr="00916320" w:rsidRDefault="00A9307E" w:rsidP="00A9307E">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A9307E" w:rsidRDefault="00A9307E" w:rsidP="00A9307E">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9" w:history="1">
              <w:r w:rsidRPr="00846D97">
                <w:rPr>
                  <w:rStyle w:val="Hyperlink"/>
                  <w:sz w:val="14"/>
                  <w:szCs w:val="14"/>
                </w:rPr>
                <w:t>http://www.sbp.org.pk/departments/stats/Expalanatory-Note.pdf</w:t>
              </w:r>
            </w:hyperlink>
          </w:p>
          <w:p w:rsidR="00A9307E" w:rsidRPr="00916320" w:rsidRDefault="00A9307E" w:rsidP="00A9307E">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20"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rsidR="00AA14DB" w:rsidRPr="006619BF" w:rsidRDefault="00AA14DB" w:rsidP="00AA14DB">
            <w:pPr>
              <w:rPr>
                <w:b/>
                <w:bCs/>
                <w:color w:val="auto"/>
                <w:szCs w:val="16"/>
              </w:rPr>
            </w:pPr>
            <w:r w:rsidRPr="006619BF">
              <w:rPr>
                <w:b/>
                <w:bCs/>
                <w:color w:val="auto"/>
                <w:szCs w:val="16"/>
              </w:rPr>
              <w:t>to</w:t>
            </w:r>
          </w:p>
          <w:p w:rsidR="00AA14DB" w:rsidRPr="006619BF" w:rsidRDefault="00BA29D6" w:rsidP="00AA14DB">
            <w:pPr>
              <w:rPr>
                <w:b/>
                <w:bCs/>
                <w:color w:val="auto"/>
                <w:szCs w:val="16"/>
              </w:rPr>
            </w:pPr>
            <w:r>
              <w:rPr>
                <w:b/>
                <w:bCs/>
                <w:color w:val="auto"/>
                <w:szCs w:val="16"/>
              </w:rPr>
              <w:t>31</w:t>
            </w:r>
            <w:r>
              <w:rPr>
                <w:b/>
                <w:bCs/>
                <w:color w:val="auto"/>
                <w:szCs w:val="16"/>
                <w:vertAlign w:val="superscript"/>
              </w:rPr>
              <w:t>st</w:t>
            </w:r>
            <w:r w:rsidR="00AA14DB">
              <w:rPr>
                <w:b/>
                <w:bCs/>
                <w:color w:val="auto"/>
                <w:szCs w:val="16"/>
              </w:rPr>
              <w:t xml:space="preserve"> </w:t>
            </w:r>
            <w:r>
              <w:rPr>
                <w:b/>
                <w:bCs/>
                <w:color w:val="auto"/>
                <w:szCs w:val="16"/>
              </w:rPr>
              <w:t>Jul</w:t>
            </w:r>
            <w:r w:rsidR="00AA14DB" w:rsidRPr="006619BF">
              <w:rPr>
                <w:b/>
                <w:bCs/>
                <w:color w:val="auto"/>
                <w:szCs w:val="16"/>
              </w:rPr>
              <w:t xml:space="preserve"> </w:t>
            </w:r>
            <w:r w:rsidR="00AA14DB">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rsidR="00AA14DB" w:rsidRPr="006619BF" w:rsidRDefault="00AA14DB" w:rsidP="00AA14DB">
            <w:pPr>
              <w:rPr>
                <w:b/>
                <w:bCs/>
                <w:color w:val="auto"/>
                <w:szCs w:val="16"/>
              </w:rPr>
            </w:pPr>
            <w:r w:rsidRPr="006619BF">
              <w:rPr>
                <w:b/>
                <w:bCs/>
                <w:color w:val="auto"/>
                <w:szCs w:val="16"/>
              </w:rPr>
              <w:t>to</w:t>
            </w:r>
          </w:p>
          <w:p w:rsidR="00AA14DB" w:rsidRPr="00C0541C" w:rsidRDefault="00B84FE8" w:rsidP="00AA14DB">
            <w:pPr>
              <w:rPr>
                <w:b/>
                <w:bCs/>
                <w:color w:val="auto"/>
                <w:szCs w:val="16"/>
                <w:vertAlign w:val="superscript"/>
              </w:rPr>
            </w:pPr>
            <w:r>
              <w:rPr>
                <w:b/>
                <w:bCs/>
                <w:color w:val="auto"/>
                <w:szCs w:val="16"/>
              </w:rPr>
              <w:t>30</w:t>
            </w:r>
            <w:r w:rsidR="00AA14DB">
              <w:rPr>
                <w:b/>
                <w:bCs/>
                <w:color w:val="auto"/>
                <w:szCs w:val="16"/>
                <w:vertAlign w:val="superscript"/>
              </w:rPr>
              <w:t>th</w:t>
            </w:r>
            <w:r w:rsidR="00AA14DB">
              <w:rPr>
                <w:b/>
                <w:bCs/>
                <w:color w:val="auto"/>
                <w:szCs w:val="16"/>
              </w:rPr>
              <w:t xml:space="preserve"> </w:t>
            </w:r>
            <w:r w:rsidR="00BA29D6">
              <w:rPr>
                <w:b/>
                <w:bCs/>
                <w:color w:val="auto"/>
                <w:szCs w:val="16"/>
              </w:rPr>
              <w:t>Jul</w:t>
            </w:r>
            <w:r w:rsidR="00AA14DB" w:rsidRPr="006619BF">
              <w:rPr>
                <w:b/>
                <w:bCs/>
                <w:color w:val="auto"/>
                <w:szCs w:val="16"/>
              </w:rPr>
              <w:t xml:space="preserve"> </w:t>
            </w:r>
            <w:r w:rsidR="00AA14DB">
              <w:rPr>
                <w:b/>
                <w:bCs/>
                <w:color w:val="auto"/>
                <w:szCs w:val="16"/>
              </w:rPr>
              <w:t>21</w:t>
            </w:r>
            <w:r w:rsidR="00AA14DB">
              <w:rPr>
                <w:b/>
                <w:bCs/>
                <w:color w:val="auto"/>
                <w:szCs w:val="16"/>
                <w:vertAlign w:val="superscript"/>
              </w:rPr>
              <w:t xml:space="preserve"> P</w:t>
            </w:r>
          </w:p>
        </w:tc>
      </w:tr>
      <w:tr w:rsidR="00AA14DB" w:rsidRPr="00D5469A" w:rsidTr="00AA14DB">
        <w:trPr>
          <w:trHeight w:val="204"/>
          <w:jc w:val="center"/>
        </w:trPr>
        <w:tc>
          <w:tcPr>
            <w:tcW w:w="2626" w:type="pct"/>
            <w:tcBorders>
              <w:top w:val="nil"/>
              <w:left w:val="nil"/>
              <w:bottom w:val="nil"/>
              <w:right w:val="nil"/>
            </w:tcBorders>
            <w:shd w:val="clear" w:color="auto" w:fill="auto"/>
            <w:vAlign w:val="bottom"/>
            <w:hideMark/>
          </w:tcPr>
          <w:p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BA29D6" w:rsidRDefault="00BA29D6" w:rsidP="00BA29D6">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rsidR="00BA29D6" w:rsidRDefault="00BA29D6" w:rsidP="00BA29D6">
            <w:pPr>
              <w:jc w:val="right"/>
              <w:rPr>
                <w:b/>
                <w:bCs/>
                <w:szCs w:val="16"/>
              </w:rPr>
            </w:pPr>
            <w:r>
              <w:rPr>
                <w:b/>
                <w:bCs/>
                <w:szCs w:val="16"/>
              </w:rPr>
              <w:t>16,990,543</w:t>
            </w:r>
          </w:p>
        </w:tc>
        <w:tc>
          <w:tcPr>
            <w:tcW w:w="621" w:type="pct"/>
            <w:tcBorders>
              <w:top w:val="nil"/>
              <w:left w:val="nil"/>
              <w:bottom w:val="nil"/>
              <w:right w:val="nil"/>
            </w:tcBorders>
            <w:shd w:val="clear" w:color="auto" w:fill="auto"/>
            <w:vAlign w:val="center"/>
            <w:hideMark/>
          </w:tcPr>
          <w:p w:rsidR="00BA29D6" w:rsidRDefault="00BA29D6" w:rsidP="00BA29D6">
            <w:pPr>
              <w:jc w:val="right"/>
              <w:rPr>
                <w:b/>
                <w:bCs/>
                <w:szCs w:val="16"/>
              </w:rPr>
            </w:pPr>
            <w:r>
              <w:rPr>
                <w:b/>
                <w:bCs/>
                <w:szCs w:val="16"/>
              </w:rPr>
              <w:t>(171,149)</w:t>
            </w:r>
          </w:p>
        </w:tc>
        <w:tc>
          <w:tcPr>
            <w:tcW w:w="602" w:type="pct"/>
            <w:tcBorders>
              <w:top w:val="nil"/>
              <w:left w:val="nil"/>
              <w:bottom w:val="nil"/>
              <w:right w:val="nil"/>
            </w:tcBorders>
            <w:shd w:val="clear" w:color="auto" w:fill="auto"/>
            <w:vAlign w:val="center"/>
            <w:hideMark/>
          </w:tcPr>
          <w:p w:rsidR="00BA29D6" w:rsidRDefault="00BA29D6" w:rsidP="00BA29D6">
            <w:pPr>
              <w:jc w:val="right"/>
              <w:rPr>
                <w:b/>
                <w:bCs/>
                <w:szCs w:val="16"/>
              </w:rPr>
            </w:pPr>
            <w:r>
              <w:rPr>
                <w:b/>
                <w:bCs/>
                <w:szCs w:val="16"/>
              </w:rPr>
              <w:t>(137,452)</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8,222,465</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11,191,007</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224,437</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342,559</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9,594,430</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205,152</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335,024</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vAlign w:val="center"/>
          </w:tcPr>
          <w:p w:rsidR="00BA29D6" w:rsidRDefault="00BA29D6" w:rsidP="00BA29D6">
            <w:pPr>
              <w:jc w:val="right"/>
              <w:rPr>
                <w:sz w:val="20"/>
              </w:rPr>
            </w:pP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0A675C" w:rsidRDefault="00BA29D6" w:rsidP="00BA29D6">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rsidR="00BA29D6" w:rsidRDefault="00BA29D6" w:rsidP="00BA29D6">
            <w:pPr>
              <w:jc w:val="right"/>
              <w:rPr>
                <w:i/>
                <w:iCs/>
                <w:szCs w:val="16"/>
              </w:rPr>
            </w:pPr>
            <w:r>
              <w:rPr>
                <w:i/>
                <w:iCs/>
                <w:szCs w:val="16"/>
              </w:rPr>
              <w:t>1,649,911</w:t>
            </w:r>
          </w:p>
        </w:tc>
        <w:tc>
          <w:tcPr>
            <w:tcW w:w="621"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(19,285)</w:t>
            </w:r>
          </w:p>
        </w:tc>
        <w:tc>
          <w:tcPr>
            <w:tcW w:w="602"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(7,534)</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6,750,124</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5,799,536</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(395,585)</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(480,010)</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BA29D6" w:rsidRDefault="00BA29D6" w:rsidP="00BA29D6">
            <w:pPr>
              <w:jc w:val="right"/>
              <w:rPr>
                <w:szCs w:val="16"/>
              </w:rPr>
            </w:pPr>
            <w:r>
              <w:rPr>
                <w:szCs w:val="16"/>
              </w:rPr>
              <w:t>7,276,174</w:t>
            </w:r>
          </w:p>
        </w:tc>
        <w:tc>
          <w:tcPr>
            <w:tcW w:w="576" w:type="pct"/>
            <w:tcBorders>
              <w:top w:val="nil"/>
              <w:left w:val="nil"/>
              <w:bottom w:val="nil"/>
              <w:right w:val="nil"/>
            </w:tcBorders>
            <w:shd w:val="clear" w:color="auto" w:fill="auto"/>
            <w:noWrap/>
            <w:vAlign w:val="center"/>
          </w:tcPr>
          <w:p w:rsidR="00BA29D6" w:rsidRDefault="00BA29D6" w:rsidP="00BA29D6">
            <w:pPr>
              <w:jc w:val="right"/>
              <w:rPr>
                <w:szCs w:val="16"/>
              </w:rPr>
            </w:pPr>
            <w:r>
              <w:rPr>
                <w:szCs w:val="16"/>
              </w:rPr>
              <w:t>6,682,721</w:t>
            </w:r>
          </w:p>
        </w:tc>
        <w:tc>
          <w:tcPr>
            <w:tcW w:w="621" w:type="pct"/>
            <w:tcBorders>
              <w:top w:val="nil"/>
              <w:left w:val="nil"/>
              <w:bottom w:val="nil"/>
              <w:right w:val="nil"/>
            </w:tcBorders>
            <w:shd w:val="clear" w:color="auto" w:fill="auto"/>
            <w:noWrap/>
            <w:vAlign w:val="center"/>
            <w:hideMark/>
          </w:tcPr>
          <w:p w:rsidR="00BA29D6" w:rsidRDefault="00BA29D6" w:rsidP="00BA29D6">
            <w:pPr>
              <w:jc w:val="right"/>
              <w:rPr>
                <w:szCs w:val="16"/>
              </w:rPr>
            </w:pPr>
            <w:r>
              <w:rPr>
                <w:szCs w:val="16"/>
              </w:rPr>
              <w:t>(289,652)</w:t>
            </w:r>
          </w:p>
        </w:tc>
        <w:tc>
          <w:tcPr>
            <w:tcW w:w="602" w:type="pct"/>
            <w:tcBorders>
              <w:top w:val="nil"/>
              <w:left w:val="nil"/>
              <w:bottom w:val="nil"/>
              <w:right w:val="nil"/>
            </w:tcBorders>
            <w:shd w:val="clear" w:color="auto" w:fill="auto"/>
            <w:noWrap/>
            <w:vAlign w:val="center"/>
            <w:hideMark/>
          </w:tcPr>
          <w:p w:rsidR="00BA29D6" w:rsidRDefault="00BA29D6" w:rsidP="00BA29D6">
            <w:pPr>
              <w:jc w:val="right"/>
              <w:rPr>
                <w:szCs w:val="16"/>
              </w:rPr>
            </w:pPr>
            <w:r>
              <w:rPr>
                <w:szCs w:val="16"/>
              </w:rPr>
              <w:t>9,733</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BA29D6" w:rsidRDefault="00BA29D6" w:rsidP="00BA29D6">
            <w:pPr>
              <w:jc w:val="right"/>
              <w:rPr>
                <w:szCs w:val="16"/>
              </w:rPr>
            </w:pPr>
            <w:r>
              <w:rPr>
                <w:szCs w:val="16"/>
              </w:rPr>
              <w:t>30,157</w:t>
            </w:r>
          </w:p>
        </w:tc>
        <w:tc>
          <w:tcPr>
            <w:tcW w:w="576" w:type="pct"/>
            <w:tcBorders>
              <w:top w:val="nil"/>
              <w:left w:val="nil"/>
              <w:bottom w:val="nil"/>
              <w:right w:val="nil"/>
            </w:tcBorders>
            <w:shd w:val="clear" w:color="auto" w:fill="auto"/>
            <w:noWrap/>
            <w:vAlign w:val="center"/>
          </w:tcPr>
          <w:p w:rsidR="00BA29D6" w:rsidRDefault="00BA29D6" w:rsidP="00BA29D6">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rsidR="00BA29D6" w:rsidRDefault="00BA29D6" w:rsidP="00BA29D6">
            <w:pPr>
              <w:jc w:val="right"/>
              <w:rPr>
                <w:szCs w:val="16"/>
              </w:rPr>
            </w:pPr>
            <w:r>
              <w:rPr>
                <w:szCs w:val="16"/>
              </w:rPr>
              <w:t>1,560</w:t>
            </w:r>
          </w:p>
        </w:tc>
        <w:tc>
          <w:tcPr>
            <w:tcW w:w="602" w:type="pct"/>
            <w:tcBorders>
              <w:top w:val="nil"/>
              <w:left w:val="nil"/>
              <w:bottom w:val="nil"/>
              <w:right w:val="nil"/>
            </w:tcBorders>
            <w:shd w:val="clear" w:color="auto" w:fill="auto"/>
            <w:noWrap/>
            <w:vAlign w:val="center"/>
            <w:hideMark/>
          </w:tcPr>
          <w:p w:rsidR="00BA29D6" w:rsidRDefault="00BA29D6" w:rsidP="00BA29D6">
            <w:pPr>
              <w:jc w:val="right"/>
              <w:rPr>
                <w:szCs w:val="16"/>
              </w:rPr>
            </w:pPr>
            <w:r>
              <w:rPr>
                <w:szCs w:val="16"/>
              </w:rPr>
              <w:t>717</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vAlign w:val="center"/>
          </w:tcPr>
          <w:p w:rsidR="00BA29D6" w:rsidRDefault="00BA29D6" w:rsidP="00BA29D6">
            <w:pPr>
              <w:jc w:val="right"/>
              <w:rPr>
                <w:sz w:val="20"/>
              </w:rPr>
            </w:pP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0A675C" w:rsidRDefault="00BA29D6" w:rsidP="00BA29D6">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rsidR="00BA29D6" w:rsidRDefault="00BA29D6" w:rsidP="00BA29D6">
            <w:pPr>
              <w:jc w:val="right"/>
              <w:rPr>
                <w:i/>
                <w:iCs/>
                <w:szCs w:val="16"/>
              </w:rPr>
            </w:pPr>
            <w:r>
              <w:rPr>
                <w:i/>
                <w:iCs/>
                <w:szCs w:val="16"/>
              </w:rPr>
              <w:t>926,776</w:t>
            </w:r>
          </w:p>
        </w:tc>
        <w:tc>
          <w:tcPr>
            <w:tcW w:w="621"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107,494</w:t>
            </w:r>
          </w:p>
        </w:tc>
        <w:tc>
          <w:tcPr>
            <w:tcW w:w="602"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490,460</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0A675C" w:rsidRDefault="00BA29D6" w:rsidP="00BA29D6">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rsidR="00BA29D6" w:rsidRDefault="00BA29D6" w:rsidP="00BA29D6">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w:t>
            </w:r>
          </w:p>
        </w:tc>
        <w:tc>
          <w:tcPr>
            <w:tcW w:w="602"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BA29D6" w:rsidRDefault="00BA29D6" w:rsidP="00BA29D6">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rsidR="00BA29D6" w:rsidRDefault="00BA29D6" w:rsidP="00BA29D6">
            <w:pPr>
              <w:jc w:val="right"/>
              <w:rPr>
                <w:b/>
                <w:bCs/>
                <w:szCs w:val="16"/>
              </w:rPr>
            </w:pPr>
            <w:r>
              <w:rPr>
                <w:b/>
                <w:bCs/>
                <w:szCs w:val="16"/>
              </w:rPr>
              <w:t>(1,524,871)</w:t>
            </w:r>
          </w:p>
        </w:tc>
        <w:tc>
          <w:tcPr>
            <w:tcW w:w="621" w:type="pct"/>
            <w:tcBorders>
              <w:top w:val="nil"/>
              <w:left w:val="nil"/>
              <w:bottom w:val="nil"/>
              <w:right w:val="nil"/>
            </w:tcBorders>
            <w:shd w:val="clear" w:color="auto" w:fill="auto"/>
            <w:vAlign w:val="center"/>
            <w:hideMark/>
          </w:tcPr>
          <w:p w:rsidR="00BA29D6" w:rsidRDefault="00BA29D6" w:rsidP="00BA29D6">
            <w:pPr>
              <w:jc w:val="right"/>
              <w:rPr>
                <w:b/>
                <w:bCs/>
                <w:szCs w:val="16"/>
              </w:rPr>
            </w:pPr>
            <w:r>
              <w:rPr>
                <w:b/>
                <w:bCs/>
                <w:szCs w:val="16"/>
              </w:rPr>
              <w:t>(29,249)</w:t>
            </w:r>
          </w:p>
        </w:tc>
        <w:tc>
          <w:tcPr>
            <w:tcW w:w="602" w:type="pct"/>
            <w:tcBorders>
              <w:top w:val="nil"/>
              <w:left w:val="nil"/>
              <w:bottom w:val="nil"/>
              <w:right w:val="nil"/>
            </w:tcBorders>
            <w:shd w:val="clear" w:color="auto" w:fill="auto"/>
            <w:vAlign w:val="center"/>
            <w:hideMark/>
          </w:tcPr>
          <w:p w:rsidR="00BA29D6" w:rsidRDefault="00BA29D6" w:rsidP="00BA29D6">
            <w:pPr>
              <w:jc w:val="right"/>
              <w:rPr>
                <w:b/>
                <w:bCs/>
                <w:szCs w:val="16"/>
              </w:rPr>
            </w:pPr>
            <w:r>
              <w:rPr>
                <w:b/>
                <w:bCs/>
                <w:szCs w:val="16"/>
              </w:rPr>
              <w:t>(70,997)</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(1,012,953)</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(1,145,086)</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12,725</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25,426</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1,024</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1,024</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vAlign w:val="center"/>
          </w:tcPr>
          <w:p w:rsidR="00BA29D6" w:rsidRDefault="00BA29D6" w:rsidP="00BA29D6">
            <w:pPr>
              <w:jc w:val="right"/>
              <w:rPr>
                <w:sz w:val="20"/>
              </w:rPr>
            </w:pP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0A675C" w:rsidRDefault="00BA29D6" w:rsidP="00BA29D6">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rsidR="00BA29D6" w:rsidRDefault="00BA29D6" w:rsidP="00BA29D6">
            <w:pPr>
              <w:jc w:val="right"/>
              <w:rPr>
                <w:i/>
                <w:iCs/>
                <w:szCs w:val="16"/>
              </w:rPr>
            </w:pPr>
            <w:r>
              <w:rPr>
                <w:i/>
                <w:iCs/>
                <w:szCs w:val="16"/>
              </w:rPr>
              <w:t>1,146,110</w:t>
            </w:r>
          </w:p>
        </w:tc>
        <w:tc>
          <w:tcPr>
            <w:tcW w:w="621"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(12,725)</w:t>
            </w:r>
          </w:p>
        </w:tc>
        <w:tc>
          <w:tcPr>
            <w:tcW w:w="602" w:type="pct"/>
            <w:tcBorders>
              <w:top w:val="nil"/>
              <w:left w:val="nil"/>
              <w:bottom w:val="nil"/>
              <w:right w:val="nil"/>
            </w:tcBorders>
            <w:shd w:val="clear" w:color="auto" w:fill="auto"/>
            <w:vAlign w:val="center"/>
            <w:hideMark/>
          </w:tcPr>
          <w:p w:rsidR="00BA29D6" w:rsidRDefault="00BA29D6" w:rsidP="00BA29D6">
            <w:pPr>
              <w:jc w:val="right"/>
              <w:rPr>
                <w:i/>
                <w:iCs/>
                <w:szCs w:val="16"/>
              </w:rPr>
            </w:pPr>
            <w:r>
              <w:rPr>
                <w:i/>
                <w:iCs/>
                <w:szCs w:val="16"/>
              </w:rPr>
              <w:t>(25,426)</w:t>
            </w: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(211,327)</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(41,974)</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(96,423)</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BA29D6">
            <w:pPr>
              <w:jc w:val="right"/>
              <w:rPr>
                <w:sz w:val="20"/>
              </w:rPr>
            </w:pPr>
          </w:p>
        </w:tc>
        <w:tc>
          <w:tcPr>
            <w:tcW w:w="602" w:type="pct"/>
            <w:tcBorders>
              <w:top w:val="nil"/>
              <w:left w:val="nil"/>
              <w:bottom w:val="nil"/>
              <w:right w:val="nil"/>
            </w:tcBorders>
            <w:shd w:val="clear" w:color="auto" w:fill="auto"/>
            <w:noWrap/>
            <w:vAlign w:val="center"/>
          </w:tcPr>
          <w:p w:rsidR="00BA29D6" w:rsidRDefault="00BA29D6" w:rsidP="00BA29D6">
            <w:pPr>
              <w:jc w:val="right"/>
              <w:rPr>
                <w:sz w:val="20"/>
              </w:rPr>
            </w:pPr>
          </w:p>
        </w:tc>
      </w:tr>
      <w:tr w:rsidR="00BA29D6" w:rsidRPr="00D5469A" w:rsidTr="00AA14DB">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w:t>
            </w:r>
          </w:p>
        </w:tc>
        <w:tc>
          <w:tcPr>
            <w:tcW w:w="576" w:type="pct"/>
            <w:tcBorders>
              <w:top w:val="nil"/>
              <w:left w:val="nil"/>
              <w:bottom w:val="nil"/>
              <w:right w:val="nil"/>
            </w:tcBorders>
            <w:shd w:val="clear" w:color="auto" w:fill="auto"/>
            <w:vAlign w:val="center"/>
          </w:tcPr>
          <w:p w:rsidR="00BA29D6" w:rsidRDefault="00BA29D6" w:rsidP="00BA29D6">
            <w:pPr>
              <w:jc w:val="right"/>
              <w:rPr>
                <w:szCs w:val="16"/>
              </w:rPr>
            </w:pPr>
            <w:r>
              <w:rPr>
                <w:szCs w:val="16"/>
              </w:rPr>
              <w:t>-</w:t>
            </w:r>
          </w:p>
        </w:tc>
        <w:tc>
          <w:tcPr>
            <w:tcW w:w="621"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BA29D6" w:rsidRDefault="00BA29D6" w:rsidP="00BA29D6">
            <w:pPr>
              <w:jc w:val="right"/>
              <w:rPr>
                <w:szCs w:val="16"/>
              </w:rPr>
            </w:pPr>
            <w:r>
              <w:rPr>
                <w:szCs w:val="16"/>
              </w:rPr>
              <w:t>-</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noWrap/>
            <w:vAlign w:val="center"/>
            <w:hideMark/>
          </w:tcPr>
          <w:p w:rsidR="00BA29D6" w:rsidRDefault="00BA29D6" w:rsidP="00BA29D6">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BA29D6">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BA29D6">
            <w:pPr>
              <w:jc w:val="right"/>
              <w:rPr>
                <w:sz w:val="20"/>
              </w:rPr>
            </w:pPr>
            <w:bookmarkStart w:id="0" w:name="_GoBack"/>
            <w:bookmarkEnd w:id="0"/>
          </w:p>
        </w:tc>
        <w:tc>
          <w:tcPr>
            <w:tcW w:w="602" w:type="pct"/>
            <w:tcBorders>
              <w:top w:val="nil"/>
              <w:left w:val="nil"/>
              <w:bottom w:val="nil"/>
              <w:right w:val="nil"/>
            </w:tcBorders>
            <w:shd w:val="clear" w:color="auto" w:fill="auto"/>
            <w:noWrap/>
            <w:vAlign w:val="center"/>
          </w:tcPr>
          <w:p w:rsidR="00BA29D6" w:rsidRDefault="00BA29D6" w:rsidP="00BA29D6">
            <w:pPr>
              <w:jc w:val="right"/>
              <w:rPr>
                <w:sz w:val="20"/>
              </w:rPr>
            </w:pPr>
          </w:p>
        </w:tc>
      </w:tr>
      <w:tr w:rsidR="00BA29D6" w:rsidRPr="00D5469A" w:rsidTr="00AA14DB">
        <w:trPr>
          <w:trHeight w:val="288"/>
          <w:jc w:val="center"/>
        </w:trPr>
        <w:tc>
          <w:tcPr>
            <w:tcW w:w="2626" w:type="pct"/>
            <w:tcBorders>
              <w:top w:val="nil"/>
              <w:left w:val="nil"/>
              <w:bottom w:val="single" w:sz="12" w:space="0" w:color="auto"/>
              <w:right w:val="nil"/>
            </w:tcBorders>
            <w:shd w:val="clear" w:color="auto" w:fill="auto"/>
            <w:vAlign w:val="center"/>
            <w:hideMark/>
          </w:tcPr>
          <w:p w:rsidR="00BA29D6" w:rsidRPr="000A675C" w:rsidRDefault="00BA29D6" w:rsidP="00BA29D6">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BA29D6" w:rsidRDefault="00BA29D6" w:rsidP="00BA29D6">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rsidR="00BA29D6" w:rsidRDefault="00BA29D6" w:rsidP="00BA29D6">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rsidR="00BA29D6" w:rsidRDefault="00BA29D6" w:rsidP="00BA29D6">
            <w:pPr>
              <w:jc w:val="right"/>
              <w:rPr>
                <w:i/>
                <w:iCs/>
                <w:szCs w:val="16"/>
              </w:rPr>
            </w:pPr>
            <w:r>
              <w:rPr>
                <w:i/>
                <w:iCs/>
                <w:szCs w:val="16"/>
              </w:rPr>
              <w:t>41,974</w:t>
            </w:r>
          </w:p>
        </w:tc>
        <w:tc>
          <w:tcPr>
            <w:tcW w:w="602" w:type="pct"/>
            <w:tcBorders>
              <w:top w:val="nil"/>
              <w:left w:val="nil"/>
              <w:bottom w:val="single" w:sz="12" w:space="0" w:color="auto"/>
              <w:right w:val="nil"/>
            </w:tcBorders>
            <w:shd w:val="clear" w:color="auto" w:fill="auto"/>
            <w:vAlign w:val="center"/>
            <w:hideMark/>
          </w:tcPr>
          <w:p w:rsidR="00BA29D6" w:rsidRDefault="00BA29D6" w:rsidP="00BA29D6">
            <w:pPr>
              <w:jc w:val="right"/>
              <w:rPr>
                <w:i/>
                <w:iCs/>
                <w:szCs w:val="16"/>
              </w:rPr>
            </w:pPr>
            <w:r>
              <w:rPr>
                <w:i/>
                <w:iCs/>
                <w:szCs w:val="16"/>
              </w:rPr>
              <w:t>96,423</w:t>
            </w:r>
          </w:p>
        </w:tc>
      </w:tr>
      <w:tr w:rsidR="00BA29D6" w:rsidRPr="00D5469A" w:rsidTr="00AA14DB">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BA29D6" w:rsidRPr="00D5469A" w:rsidRDefault="00BA29D6" w:rsidP="00BA29D6">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rsidR="00BA29D6" w:rsidRDefault="00BA29D6" w:rsidP="00BA29D6">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center"/>
          </w:tcPr>
          <w:p w:rsidR="00BA29D6" w:rsidRDefault="00BA29D6" w:rsidP="00BA29D6">
            <w:pPr>
              <w:jc w:val="right"/>
              <w:rPr>
                <w:b/>
                <w:bCs/>
                <w:szCs w:val="16"/>
              </w:rPr>
            </w:pPr>
            <w:r>
              <w:rPr>
                <w:b/>
                <w:bCs/>
                <w:szCs w:val="16"/>
              </w:rPr>
              <w:t>15,465,672</w:t>
            </w:r>
          </w:p>
        </w:tc>
        <w:tc>
          <w:tcPr>
            <w:tcW w:w="621" w:type="pct"/>
            <w:tcBorders>
              <w:top w:val="single" w:sz="12" w:space="0" w:color="auto"/>
              <w:left w:val="nil"/>
              <w:bottom w:val="single" w:sz="12" w:space="0" w:color="auto"/>
              <w:right w:val="nil"/>
            </w:tcBorders>
            <w:shd w:val="clear" w:color="auto" w:fill="auto"/>
            <w:vAlign w:val="center"/>
            <w:hideMark/>
          </w:tcPr>
          <w:p w:rsidR="00BA29D6" w:rsidRDefault="00BA29D6" w:rsidP="00BA29D6">
            <w:pPr>
              <w:jc w:val="right"/>
              <w:rPr>
                <w:b/>
                <w:bCs/>
                <w:szCs w:val="16"/>
              </w:rPr>
            </w:pPr>
            <w:r>
              <w:rPr>
                <w:b/>
                <w:bCs/>
                <w:szCs w:val="16"/>
              </w:rPr>
              <w:t>(200,397)</w:t>
            </w:r>
          </w:p>
        </w:tc>
        <w:tc>
          <w:tcPr>
            <w:tcW w:w="602" w:type="pct"/>
            <w:tcBorders>
              <w:top w:val="single" w:sz="12" w:space="0" w:color="auto"/>
              <w:left w:val="nil"/>
              <w:bottom w:val="single" w:sz="12" w:space="0" w:color="auto"/>
              <w:right w:val="nil"/>
            </w:tcBorders>
            <w:shd w:val="clear" w:color="auto" w:fill="auto"/>
            <w:vAlign w:val="center"/>
            <w:hideMark/>
          </w:tcPr>
          <w:p w:rsidR="00BA29D6" w:rsidRDefault="00BA29D6" w:rsidP="00BA29D6">
            <w:pPr>
              <w:jc w:val="right"/>
              <w:rPr>
                <w:b/>
                <w:bCs/>
                <w:szCs w:val="16"/>
              </w:rPr>
            </w:pPr>
            <w:r>
              <w:rPr>
                <w:b/>
                <w:bCs/>
                <w:szCs w:val="16"/>
              </w:rPr>
              <w:t>(208,449)</w:t>
            </w:r>
          </w:p>
        </w:tc>
      </w:tr>
      <w:tr w:rsidR="00AA14DB"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AA14DB" w:rsidRDefault="00AA14DB" w:rsidP="00AA14DB">
            <w:pPr>
              <w:jc w:val="left"/>
              <w:rPr>
                <w:color w:val="auto"/>
                <w:sz w:val="14"/>
                <w:szCs w:val="14"/>
              </w:rPr>
            </w:pPr>
            <w:r>
              <w:rPr>
                <w:color w:val="auto"/>
                <w:sz w:val="14"/>
                <w:szCs w:val="14"/>
              </w:rPr>
              <w:t>Note</w:t>
            </w:r>
            <w:proofErr w:type="gramStart"/>
            <w:r>
              <w:rPr>
                <w:color w:val="auto"/>
                <w:sz w:val="14"/>
                <w:szCs w:val="14"/>
              </w:rPr>
              <w:t>;</w:t>
            </w:r>
            <w:proofErr w:type="gramEnd"/>
            <w:r>
              <w:rPr>
                <w:color w:val="auto"/>
                <w:sz w:val="14"/>
                <w:szCs w:val="14"/>
              </w:rPr>
              <w:t xml:space="preserv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Pr="00B4576D">
              <w:rPr>
                <w:color w:val="auto"/>
                <w:sz w:val="14"/>
                <w:szCs w:val="14"/>
              </w:rPr>
              <w:t>has been enhanced</w:t>
            </w:r>
            <w:proofErr w:type="gramEnd"/>
            <w:r w:rsidRPr="00B4576D">
              <w:rPr>
                <w:color w:val="auto"/>
                <w:sz w:val="14"/>
                <w:szCs w:val="14"/>
              </w:rPr>
              <w:t xml:space="preserve"> since July 2019. </w:t>
            </w:r>
          </w:p>
          <w:p w:rsidR="00AA14DB" w:rsidRDefault="00AA14DB" w:rsidP="00AA14DB">
            <w:pPr>
              <w:jc w:val="left"/>
              <w:rPr>
                <w:color w:val="auto"/>
                <w:sz w:val="14"/>
                <w:szCs w:val="14"/>
              </w:rPr>
            </w:pPr>
            <w:r w:rsidRPr="00B4576D">
              <w:rPr>
                <w:color w:val="auto"/>
                <w:sz w:val="14"/>
                <w:szCs w:val="14"/>
              </w:rPr>
              <w:t>Detail of changes are available at:</w:t>
            </w:r>
          </w:p>
          <w:p w:rsidR="00AA14DB" w:rsidRPr="00114997" w:rsidRDefault="00413752" w:rsidP="00AA14DB">
            <w:pPr>
              <w:jc w:val="left"/>
              <w:rPr>
                <w:color w:val="auto"/>
                <w:sz w:val="14"/>
                <w:szCs w:val="14"/>
              </w:rPr>
            </w:pPr>
            <w:hyperlink r:id="rId21" w:history="1">
              <w:r w:rsidR="00AA14DB" w:rsidRPr="00846D97">
                <w:rPr>
                  <w:rStyle w:val="Hyperlink"/>
                  <w:sz w:val="14"/>
                  <w:szCs w:val="14"/>
                </w:rPr>
                <w:t>http://www.sbp.org.pk/departments/stats/Expalanatory-Note.pdf</w:t>
              </w:r>
            </w:hyperlink>
          </w:p>
        </w:tc>
      </w:tr>
      <w:tr w:rsidR="00AA14DB"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AA14DB" w:rsidRDefault="00AA14DB" w:rsidP="00AA14DB">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0C10E1" w:rsidRPr="00D5469A" w:rsidTr="008647F4">
        <w:trPr>
          <w:trHeight w:val="259"/>
          <w:jc w:val="center"/>
        </w:trPr>
        <w:tc>
          <w:tcPr>
            <w:tcW w:w="2626" w:type="pct"/>
            <w:tcBorders>
              <w:top w:val="single" w:sz="12" w:space="0" w:color="auto"/>
              <w:left w:val="nil"/>
              <w:bottom w:val="nil"/>
              <w:right w:val="nil"/>
            </w:tcBorders>
            <w:shd w:val="clear" w:color="auto" w:fill="auto"/>
            <w:vAlign w:val="center"/>
            <w:hideMark/>
          </w:tcPr>
          <w:p w:rsidR="000C10E1" w:rsidRPr="00D5469A" w:rsidRDefault="000C10E1" w:rsidP="000C10E1">
            <w:pPr>
              <w:ind w:left="402"/>
              <w:jc w:val="left"/>
              <w:rPr>
                <w:color w:val="auto"/>
                <w:szCs w:val="16"/>
              </w:rPr>
            </w:pPr>
            <w:r w:rsidRPr="00D5469A">
              <w:rPr>
                <w:color w:val="auto"/>
                <w:szCs w:val="16"/>
              </w:rPr>
              <w:t>Rice</w:t>
            </w:r>
          </w:p>
        </w:tc>
        <w:tc>
          <w:tcPr>
            <w:tcW w:w="575" w:type="pct"/>
            <w:tcBorders>
              <w:top w:val="single" w:sz="12" w:space="0" w:color="auto"/>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118</w:t>
            </w:r>
          </w:p>
        </w:tc>
        <w:tc>
          <w:tcPr>
            <w:tcW w:w="576" w:type="pct"/>
            <w:tcBorders>
              <w:top w:val="single" w:sz="12" w:space="0" w:color="auto"/>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129</w:t>
            </w:r>
          </w:p>
        </w:tc>
        <w:tc>
          <w:tcPr>
            <w:tcW w:w="621" w:type="pct"/>
            <w:tcBorders>
              <w:top w:val="single" w:sz="12" w:space="0" w:color="auto"/>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4</w:t>
            </w:r>
          </w:p>
        </w:tc>
        <w:tc>
          <w:tcPr>
            <w:tcW w:w="602" w:type="pct"/>
            <w:tcBorders>
              <w:top w:val="single" w:sz="12" w:space="0" w:color="auto"/>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2</w:t>
            </w:r>
          </w:p>
        </w:tc>
      </w:tr>
      <w:tr w:rsidR="000C10E1" w:rsidRPr="00D5469A" w:rsidTr="008647F4">
        <w:trPr>
          <w:trHeight w:val="259"/>
          <w:jc w:val="center"/>
        </w:trPr>
        <w:tc>
          <w:tcPr>
            <w:tcW w:w="2626" w:type="pct"/>
            <w:tcBorders>
              <w:top w:val="nil"/>
              <w:left w:val="nil"/>
              <w:bottom w:val="nil"/>
              <w:right w:val="nil"/>
            </w:tcBorders>
            <w:shd w:val="clear" w:color="auto" w:fill="auto"/>
            <w:vAlign w:val="center"/>
            <w:hideMark/>
          </w:tcPr>
          <w:p w:rsidR="000C10E1" w:rsidRPr="00D5469A" w:rsidRDefault="000C10E1" w:rsidP="000C10E1">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(664)</w:t>
            </w:r>
          </w:p>
        </w:tc>
        <w:tc>
          <w:tcPr>
            <w:tcW w:w="602"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(7,229)</w:t>
            </w:r>
          </w:p>
        </w:tc>
      </w:tr>
      <w:tr w:rsidR="000C10E1" w:rsidRPr="00D5469A" w:rsidTr="008647F4">
        <w:trPr>
          <w:trHeight w:val="259"/>
          <w:jc w:val="center"/>
        </w:trPr>
        <w:tc>
          <w:tcPr>
            <w:tcW w:w="2626" w:type="pct"/>
            <w:tcBorders>
              <w:top w:val="nil"/>
              <w:left w:val="nil"/>
              <w:bottom w:val="nil"/>
              <w:right w:val="nil"/>
            </w:tcBorders>
            <w:shd w:val="clear" w:color="auto" w:fill="auto"/>
            <w:vAlign w:val="center"/>
            <w:hideMark/>
          </w:tcPr>
          <w:p w:rsidR="000C10E1" w:rsidRPr="00D5469A" w:rsidRDefault="000C10E1" w:rsidP="000C10E1">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(2,106)</w:t>
            </w:r>
          </w:p>
        </w:tc>
        <w:tc>
          <w:tcPr>
            <w:tcW w:w="602"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1,269</w:t>
            </w:r>
          </w:p>
        </w:tc>
      </w:tr>
      <w:tr w:rsidR="000C10E1" w:rsidRPr="00D5469A" w:rsidTr="008647F4">
        <w:trPr>
          <w:trHeight w:val="259"/>
          <w:jc w:val="center"/>
        </w:trPr>
        <w:tc>
          <w:tcPr>
            <w:tcW w:w="2626" w:type="pct"/>
            <w:tcBorders>
              <w:top w:val="nil"/>
              <w:left w:val="nil"/>
              <w:bottom w:val="nil"/>
              <w:right w:val="nil"/>
            </w:tcBorders>
            <w:shd w:val="clear" w:color="auto" w:fill="auto"/>
            <w:vAlign w:val="center"/>
            <w:hideMark/>
          </w:tcPr>
          <w:p w:rsidR="000C10E1" w:rsidRPr="00D5469A" w:rsidRDefault="000C10E1" w:rsidP="000C10E1">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(4,398)</w:t>
            </w:r>
          </w:p>
        </w:tc>
        <w:tc>
          <w:tcPr>
            <w:tcW w:w="602" w:type="pct"/>
            <w:tcBorders>
              <w:top w:val="nil"/>
              <w:left w:val="nil"/>
              <w:bottom w:val="nil"/>
              <w:right w:val="nil"/>
            </w:tcBorders>
            <w:shd w:val="clear" w:color="auto" w:fill="auto"/>
            <w:tcMar>
              <w:left w:w="72" w:type="dxa"/>
              <w:right w:w="72" w:type="dxa"/>
            </w:tcMar>
            <w:vAlign w:val="center"/>
            <w:hideMark/>
          </w:tcPr>
          <w:p w:rsidR="000C10E1" w:rsidRDefault="000C10E1" w:rsidP="000C10E1">
            <w:pPr>
              <w:jc w:val="right"/>
              <w:rPr>
                <w:szCs w:val="16"/>
              </w:rPr>
            </w:pPr>
            <w:r>
              <w:rPr>
                <w:szCs w:val="16"/>
              </w:rPr>
              <w:t>865</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Onion</w:t>
            </w:r>
          </w:p>
        </w:tc>
        <w:tc>
          <w:tcPr>
            <w:tcW w:w="575"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8647F4">
        <w:trPr>
          <w:trHeight w:val="259"/>
          <w:jc w:val="center"/>
        </w:trPr>
        <w:tc>
          <w:tcPr>
            <w:tcW w:w="2626" w:type="pct"/>
            <w:tcBorders>
              <w:top w:val="nil"/>
              <w:left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0C10E1" w:rsidRPr="00D5469A" w:rsidTr="008647F4">
        <w:trPr>
          <w:trHeight w:val="259"/>
          <w:jc w:val="center"/>
        </w:trPr>
        <w:tc>
          <w:tcPr>
            <w:tcW w:w="2626" w:type="pct"/>
            <w:tcBorders>
              <w:left w:val="nil"/>
              <w:bottom w:val="single" w:sz="12" w:space="0" w:color="auto"/>
              <w:right w:val="nil"/>
            </w:tcBorders>
            <w:shd w:val="clear" w:color="auto" w:fill="auto"/>
            <w:vAlign w:val="center"/>
          </w:tcPr>
          <w:p w:rsidR="000C10E1" w:rsidRPr="00D5469A" w:rsidRDefault="000C10E1" w:rsidP="000C10E1">
            <w:pPr>
              <w:ind w:left="402"/>
              <w:jc w:val="left"/>
              <w:rPr>
                <w:color w:val="auto"/>
                <w:szCs w:val="16"/>
              </w:rPr>
            </w:pPr>
            <w:r w:rsidRPr="00D5469A">
              <w:rPr>
                <w:color w:val="auto"/>
                <w:szCs w:val="16"/>
              </w:rPr>
              <w:t>Cotton</w:t>
            </w:r>
          </w:p>
        </w:tc>
        <w:tc>
          <w:tcPr>
            <w:tcW w:w="575" w:type="pct"/>
            <w:tcBorders>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szCs w:val="16"/>
              </w:rPr>
            </w:pPr>
            <w:r>
              <w:rPr>
                <w:szCs w:val="16"/>
              </w:rPr>
              <w:t>1,345</w:t>
            </w:r>
          </w:p>
        </w:tc>
        <w:tc>
          <w:tcPr>
            <w:tcW w:w="576" w:type="pct"/>
            <w:tcBorders>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szCs w:val="16"/>
              </w:rPr>
            </w:pPr>
            <w:r>
              <w:rPr>
                <w:szCs w:val="16"/>
              </w:rPr>
              <w:t>1,470</w:t>
            </w:r>
          </w:p>
        </w:tc>
        <w:tc>
          <w:tcPr>
            <w:tcW w:w="621" w:type="pct"/>
            <w:tcBorders>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szCs w:val="16"/>
              </w:rPr>
            </w:pPr>
            <w:r>
              <w:rPr>
                <w:szCs w:val="16"/>
              </w:rPr>
              <w:t>42</w:t>
            </w:r>
          </w:p>
        </w:tc>
        <w:tc>
          <w:tcPr>
            <w:tcW w:w="602" w:type="pct"/>
            <w:tcBorders>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szCs w:val="16"/>
              </w:rPr>
            </w:pPr>
            <w:r>
              <w:rPr>
                <w:szCs w:val="16"/>
              </w:rPr>
              <w:t>27</w:t>
            </w:r>
          </w:p>
        </w:tc>
      </w:tr>
      <w:tr w:rsidR="000C10E1" w:rsidRPr="00D5469A" w:rsidTr="008647F4">
        <w:trPr>
          <w:trHeight w:val="259"/>
          <w:jc w:val="center"/>
        </w:trPr>
        <w:tc>
          <w:tcPr>
            <w:tcW w:w="2626" w:type="pct"/>
            <w:tcBorders>
              <w:top w:val="nil"/>
              <w:left w:val="nil"/>
              <w:bottom w:val="single" w:sz="12" w:space="0" w:color="auto"/>
              <w:right w:val="nil"/>
            </w:tcBorders>
            <w:shd w:val="clear" w:color="auto" w:fill="auto"/>
            <w:vAlign w:val="center"/>
          </w:tcPr>
          <w:p w:rsidR="000C10E1" w:rsidRPr="00D5469A" w:rsidRDefault="000C10E1" w:rsidP="000C10E1">
            <w:pPr>
              <w:ind w:left="402"/>
              <w:jc w:val="both"/>
              <w:rPr>
                <w:b/>
                <w:color w:val="auto"/>
                <w:sz w:val="18"/>
                <w:szCs w:val="18"/>
              </w:rPr>
            </w:pPr>
            <w:r w:rsidRPr="00D5469A">
              <w:rPr>
                <w:b/>
                <w:color w:val="auto"/>
                <w:sz w:val="18"/>
                <w:szCs w:val="18"/>
              </w:rPr>
              <w:t>Total</w:t>
            </w:r>
          </w:p>
        </w:tc>
        <w:tc>
          <w:tcPr>
            <w:tcW w:w="575" w:type="pct"/>
            <w:tcBorders>
              <w:top w:val="nil"/>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b/>
                <w:bCs/>
                <w:szCs w:val="16"/>
              </w:rPr>
            </w:pPr>
            <w:r>
              <w:rPr>
                <w:b/>
                <w:bCs/>
                <w:szCs w:val="16"/>
              </w:rPr>
              <w:t>813,435</w:t>
            </w:r>
          </w:p>
        </w:tc>
        <w:tc>
          <w:tcPr>
            <w:tcW w:w="576" w:type="pct"/>
            <w:tcBorders>
              <w:top w:val="nil"/>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b/>
                <w:bCs/>
                <w:szCs w:val="16"/>
              </w:rPr>
            </w:pPr>
            <w:r>
              <w:rPr>
                <w:b/>
                <w:bCs/>
                <w:szCs w:val="16"/>
              </w:rPr>
              <w:t>903,999</w:t>
            </w:r>
          </w:p>
        </w:tc>
        <w:tc>
          <w:tcPr>
            <w:tcW w:w="621" w:type="pct"/>
            <w:tcBorders>
              <w:top w:val="nil"/>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b/>
                <w:bCs/>
                <w:szCs w:val="16"/>
              </w:rPr>
            </w:pPr>
            <w:r>
              <w:rPr>
                <w:b/>
                <w:bCs/>
                <w:szCs w:val="16"/>
              </w:rPr>
              <w:t>(7,123)</w:t>
            </w:r>
          </w:p>
        </w:tc>
        <w:tc>
          <w:tcPr>
            <w:tcW w:w="602" w:type="pct"/>
            <w:tcBorders>
              <w:top w:val="nil"/>
              <w:left w:val="nil"/>
              <w:bottom w:val="single" w:sz="12" w:space="0" w:color="auto"/>
              <w:right w:val="nil"/>
            </w:tcBorders>
            <w:shd w:val="clear" w:color="auto" w:fill="auto"/>
            <w:tcMar>
              <w:left w:w="72" w:type="dxa"/>
              <w:right w:w="72" w:type="dxa"/>
            </w:tcMar>
            <w:vAlign w:val="center"/>
          </w:tcPr>
          <w:p w:rsidR="000C10E1" w:rsidRDefault="000C10E1" w:rsidP="000C10E1">
            <w:pPr>
              <w:jc w:val="right"/>
              <w:rPr>
                <w:b/>
                <w:bCs/>
                <w:szCs w:val="16"/>
              </w:rPr>
            </w:pPr>
            <w:r>
              <w:rPr>
                <w:b/>
                <w:bCs/>
                <w:szCs w:val="16"/>
              </w:rPr>
              <w:t>(5,066)</w:t>
            </w:r>
          </w:p>
        </w:tc>
      </w:tr>
      <w:tr w:rsidR="00AA14DB"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AA14DB" w:rsidRDefault="00AA14DB" w:rsidP="00AA14DB">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10164" w:type="dxa"/>
        <w:jc w:val="center"/>
        <w:tblLook w:val="04A0" w:firstRow="1" w:lastRow="0" w:firstColumn="1" w:lastColumn="0" w:noHBand="0" w:noVBand="1"/>
      </w:tblPr>
      <w:tblGrid>
        <w:gridCol w:w="4247"/>
        <w:gridCol w:w="618"/>
        <w:gridCol w:w="618"/>
        <w:gridCol w:w="688"/>
        <w:gridCol w:w="618"/>
        <w:gridCol w:w="618"/>
        <w:gridCol w:w="688"/>
        <w:gridCol w:w="630"/>
        <w:gridCol w:w="725"/>
        <w:gridCol w:w="714"/>
      </w:tblGrid>
      <w:tr w:rsidR="00CE0560" w:rsidRPr="00CE0560" w:rsidTr="00946E91">
        <w:trPr>
          <w:trHeight w:val="375"/>
          <w:jc w:val="center"/>
        </w:trPr>
        <w:tc>
          <w:tcPr>
            <w:tcW w:w="10164"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3D0FF3">
        <w:trPr>
          <w:trHeight w:val="132"/>
          <w:jc w:val="center"/>
        </w:trPr>
        <w:tc>
          <w:tcPr>
            <w:tcW w:w="10164"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6A6EAA">
            <w:pPr>
              <w:jc w:val="right"/>
              <w:rPr>
                <w:bCs/>
                <w:color w:val="auto"/>
                <w:sz w:val="14"/>
                <w:szCs w:val="14"/>
              </w:rPr>
            </w:pPr>
            <w:r w:rsidRPr="006A6EAA">
              <w:rPr>
                <w:bCs/>
                <w:color w:val="auto"/>
                <w:sz w:val="14"/>
                <w:szCs w:val="14"/>
              </w:rPr>
              <w:t>Million Rupees</w:t>
            </w:r>
          </w:p>
        </w:tc>
      </w:tr>
      <w:tr w:rsidR="00D64FA6" w:rsidRPr="00CE0560" w:rsidTr="00D8784E">
        <w:trPr>
          <w:trHeight w:val="132"/>
          <w:jc w:val="center"/>
        </w:trPr>
        <w:tc>
          <w:tcPr>
            <w:tcW w:w="4247"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64FA6" w:rsidRPr="00CE0560" w:rsidRDefault="00A70E00" w:rsidP="00D64FA6">
            <w:pPr>
              <w:rPr>
                <w:b/>
                <w:bCs/>
                <w:color w:val="auto"/>
                <w:sz w:val="14"/>
                <w:szCs w:val="14"/>
              </w:rPr>
            </w:pPr>
            <w:r>
              <w:rPr>
                <w:b/>
                <w:bCs/>
                <w:color w:val="auto"/>
                <w:sz w:val="14"/>
                <w:szCs w:val="14"/>
              </w:rPr>
              <w:t>LAST WEEK END</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rPr>
                <w:b/>
                <w:bCs/>
                <w:color w:val="auto"/>
                <w:sz w:val="14"/>
                <w:szCs w:val="14"/>
              </w:rPr>
            </w:pPr>
            <w:r>
              <w:rPr>
                <w:b/>
                <w:bCs/>
                <w:color w:val="auto"/>
                <w:sz w:val="14"/>
                <w:szCs w:val="14"/>
              </w:rPr>
              <w:t>Jan-21</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Feb-21</w:t>
            </w:r>
          </w:p>
        </w:tc>
        <w:tc>
          <w:tcPr>
            <w:tcW w:w="2069"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Mar-21</w:t>
            </w:r>
          </w:p>
        </w:tc>
      </w:tr>
      <w:tr w:rsidR="00D64FA6" w:rsidRPr="00CE0560" w:rsidTr="00D8784E">
        <w:trPr>
          <w:trHeight w:val="133"/>
          <w:jc w:val="center"/>
        </w:trPr>
        <w:tc>
          <w:tcPr>
            <w:tcW w:w="4247"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64FA6" w:rsidRPr="00CE0560" w:rsidRDefault="00D64FA6" w:rsidP="00D64FA6">
            <w:pPr>
              <w:jc w:val="left"/>
              <w:rPr>
                <w:b/>
                <w:bCs/>
                <w:color w:val="auto"/>
                <w:sz w:val="14"/>
                <w:szCs w:val="14"/>
              </w:rPr>
            </w:pP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725"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14" w:type="dxa"/>
            <w:tcBorders>
              <w:top w:val="nil"/>
              <w:left w:val="nil"/>
              <w:bottom w:val="single" w:sz="12"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r>
      <w:tr w:rsidR="00D64FA6" w:rsidRPr="00CE0560" w:rsidTr="00D8784E">
        <w:trPr>
          <w:trHeight w:val="173"/>
          <w:jc w:val="center"/>
        </w:trPr>
        <w:tc>
          <w:tcPr>
            <w:tcW w:w="4247"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725"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714"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5,910,744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12,588,905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5,923,578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6,447,248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13,335,082</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1,237,642</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1,688,931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2,926,573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1,282,071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1,575,025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2,857,096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1,289,039</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1,615,299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2,904,338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620,126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620,126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572,638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572,638</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572,638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605,983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1,657,820</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2,263,803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709,433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1,534,465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2,243,898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716,401</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1,524,156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2,240,557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11,533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4,689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16,222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10,123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10,123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64,825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64,825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26,395</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26,395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30,410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30,410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26,292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26,292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987,969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987,969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1,094,290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1,608,794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1,608,794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987,969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987,969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1,094,290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1,608,794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1,608,794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830,387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830,387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827,445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827,445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847,167</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847,167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3,191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3,191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3,342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3,342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3,544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3,544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261,361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261,361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274,140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274,140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285,801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285,801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410,958</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410,958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397,666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397,666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410,010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410,010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154,877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154,877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152,297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152,297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147,812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147,812</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247,449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247,449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245,820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245,820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255,012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255,012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51,256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51,256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56,139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56,139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64,494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64,494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156,996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156,996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152,222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152,222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39,197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38,296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38,296</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5,427,879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1,581,841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7,009,720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5,505,118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1,528,443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7,033,561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5,587,150</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1,497,805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7,084,955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5,427,879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1,552,804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6,980,683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5,505,118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1,504,280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7,009,398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5,587,150</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1,470,861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7,058,011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26,297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26,297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21,423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21,423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24,204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24,204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158,453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156,411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156,411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75,847</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75,847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54,622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52,580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52,580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137,189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137,189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137,242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137,242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137,782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137,782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654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654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427</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11,986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278,525</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290,511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11,218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356,860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368,078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11,218</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328,978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340,196</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right"/>
              <w:rPr>
                <w:sz w:val="14"/>
                <w:szCs w:val="14"/>
              </w:rPr>
            </w:pP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5,910,744</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12,588,905</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5,923,578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6,447,248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13,335,082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1,376,651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1,376,651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1,393,104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1,393,104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1,444,910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1,444,910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725,946</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725,946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678,445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678,445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678,445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678,445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524,495</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524,495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588,449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588,449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640,255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640,255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6,678,048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6,887,661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6,678,048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6,678,048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6,798,799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6,887,661</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6,887,661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1,970,119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1,970,119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1,985,776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1,985,776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2,465,126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2,465,126</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569,029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569,029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541,860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541,860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1,157,873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1,157,873</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513,481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513,481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575,186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575,186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588,663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588,663</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782,181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782,181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762,401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762,401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613,582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613,582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105,428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105,428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106,329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106,329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105,008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105,008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666,762</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666,762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670,506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670,506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649,244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649,244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231,951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231,951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239,903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239,903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230,469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230,469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72,067</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72,067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71,191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71,191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69,634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69,634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362,661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362,661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359,231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359,231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348,902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348,902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1,704,629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1,704,629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1,683,635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1,683,635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1,633,685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1,633,685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724,953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724,953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712,936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712,936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699,282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699,282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228,030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228,030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226,627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226,627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217,854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217,854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751,646</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751,646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744,072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744,072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716,549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716,549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192,696</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192,696</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190,742</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190,742</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254,456</w:t>
            </w:r>
          </w:p>
        </w:tc>
        <w:tc>
          <w:tcPr>
            <w:tcW w:w="714"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254,456</w:t>
            </w:r>
          </w:p>
        </w:tc>
      </w:tr>
      <w:tr w:rsidR="00D64FA6" w:rsidRPr="00CE0560" w:rsidTr="00D8784E">
        <w:trPr>
          <w:trHeight w:val="173"/>
          <w:jc w:val="center"/>
        </w:trPr>
        <w:tc>
          <w:tcPr>
            <w:tcW w:w="4247"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5"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14"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3D0FF3">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E0560">
              <w:rPr>
                <w:b/>
                <w:bCs/>
                <w:sz w:val="28"/>
                <w:szCs w:val="28"/>
              </w:rPr>
              <w:lastRenderedPageBreak/>
              <w:t>2.9 Statement of Affairs</w:t>
            </w:r>
          </w:p>
        </w:tc>
      </w:tr>
      <w:tr w:rsidR="006A6EAA" w:rsidRPr="00CE0560" w:rsidTr="003D0FF3">
        <w:trPr>
          <w:trHeight w:val="132"/>
        </w:trPr>
        <w:tc>
          <w:tcPr>
            <w:tcW w:w="10350"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E43086">
            <w:pPr>
              <w:jc w:val="right"/>
              <w:rPr>
                <w:bCs/>
                <w:color w:val="auto"/>
                <w:sz w:val="14"/>
                <w:szCs w:val="14"/>
              </w:rPr>
            </w:pPr>
            <w:r w:rsidRPr="006A6EAA">
              <w:rPr>
                <w:bCs/>
                <w:color w:val="auto"/>
                <w:sz w:val="14"/>
                <w:szCs w:val="14"/>
              </w:rPr>
              <w:t>Million Rupees</w:t>
            </w:r>
          </w:p>
        </w:tc>
      </w:tr>
      <w:tr w:rsidR="00D64FA6" w:rsidRPr="00CE0560" w:rsidTr="003D0FF3">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64FA6" w:rsidRPr="00CE0560" w:rsidRDefault="00A70E00" w:rsidP="00D64FA6">
            <w:pPr>
              <w:rPr>
                <w:b/>
                <w:bCs/>
                <w:color w:val="auto"/>
                <w:sz w:val="14"/>
                <w:szCs w:val="14"/>
              </w:rPr>
            </w:pPr>
            <w:r>
              <w:rPr>
                <w:b/>
                <w:bCs/>
                <w:color w:val="auto"/>
                <w:sz w:val="14"/>
                <w:szCs w:val="14"/>
              </w:rPr>
              <w:t>LAST WEEK END</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Apr-21</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May-21</w:t>
            </w:r>
          </w:p>
        </w:tc>
        <w:tc>
          <w:tcPr>
            <w:tcW w:w="207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Jun-21</w:t>
            </w:r>
          </w:p>
        </w:tc>
      </w:tr>
      <w:tr w:rsidR="00D64FA6" w:rsidRPr="00CE0560" w:rsidTr="003D0FF3">
        <w:trPr>
          <w:trHeight w:val="133"/>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64FA6" w:rsidRPr="00CE0560" w:rsidRDefault="00D64FA6" w:rsidP="00D64FA6">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r>
      <w:tr w:rsidR="00D64FA6" w:rsidRPr="00CE0560" w:rsidTr="003D0FF3">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b/>
                <w:bCs/>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64FA6" w:rsidRPr="001143F1" w:rsidRDefault="00D64FA6" w:rsidP="00D64FA6">
            <w:pPr>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64FA6" w:rsidRPr="001143F1" w:rsidRDefault="00D64FA6" w:rsidP="00D64FA6">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D64FA6" w:rsidRPr="001143F1" w:rsidRDefault="00D64FA6" w:rsidP="00D64FA6">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jc w:val="right"/>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1143F1" w:rsidRDefault="00D64FA6" w:rsidP="00D64FA6">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13,460,250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7,036,237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14,420,825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13,992,942</w:t>
            </w:r>
          </w:p>
        </w:tc>
      </w:tr>
      <w:tr w:rsidR="00D64FA6" w:rsidRPr="00CE0560" w:rsidTr="00FD50FA">
        <w:trPr>
          <w:trHeight w:val="117"/>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AE3913"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lef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lef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1,275,054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1,899,523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3,174,577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1,279,602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1,990,350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3,269,952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1,580,456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1,792,904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3,373,360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609,733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609,733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711,254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1,805,124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2,516,378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715,802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1,904,831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2,620,633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970,723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1,703,092</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2,673,815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64,736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64,736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60,438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60,438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60,666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60,666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29,637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29,637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25,054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25,054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29,119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29,119</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1,607,483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2,386,648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2,386,648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1,791,276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1,791,276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1,607,483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2,386,648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2,386,648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1,791,276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1,791,276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850,344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850,344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857,785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857,785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882,508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882,508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3,515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3,996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3,996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4,037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4,037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297,173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297,173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307,174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307,174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328,524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328,524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426,229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426,229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425,566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425,566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429,003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429,003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123,427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123,427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121,049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121,049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120,944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120,944</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259,255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259,255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274,149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274,149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290,558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290,558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71,154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79,826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79,826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94,851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94,851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153,413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153,413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159,917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159,917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161,345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161,345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34,406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34,406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34,343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34,343</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5,896,764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940,034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6,836,798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6,093,516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793,936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6,887,452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5,757,020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1,180,641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6,937,661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5,896,764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914,044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6,810,808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6,093,516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766,174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6,859,690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5,757,020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1,148,355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6,905,375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23,250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25,022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25,022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29,546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29,546</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140,256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58,648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53,624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137,801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137,801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137,941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137,941</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138,054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138,054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11,074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442,341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453,415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11,074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455,172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466,246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11,816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427,107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438,923</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E0560"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13,460,250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7,036,237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14,420,825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13,992,942</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1,514,303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1,514,303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1,582,077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1,582,077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1,679,399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1,679,399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698,250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698,250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735,776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735,776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803,550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803,550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854,939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854,939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7,384,415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7,349,493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7,384,415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7,384,415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7,349,493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7,349,493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2,321,387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2,321,387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3,003,397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3,003,397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2,470,791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2,470,791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884,342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884,342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1,689,309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1,689,309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1,211,729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1,211,729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576,551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576,551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503,252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503,252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457,549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457,549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750,471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750,471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699,722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699,722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687,090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687,090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110,023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110,023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111,114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111,114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114,423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114,423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642,605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642,605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648,633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648,633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663,717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663,717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226,245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226,245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228,663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228,663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234,033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234,033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69,071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69,071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69,535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69,535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70,990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70,990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346,859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346,859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349,912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349,912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357,921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357,921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430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430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773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773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1,597,969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1,597,969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1,621,023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1,621,023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1,612,527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1,612,527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640,596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640,596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218,095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218,095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221,662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221,662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222,942</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222,942</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722,123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722,123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741,609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741,609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748,989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748,989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200,970</w:t>
            </w:r>
          </w:p>
        </w:tc>
        <w:tc>
          <w:tcPr>
            <w:tcW w:w="72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200,970</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181,280</w:t>
            </w:r>
          </w:p>
        </w:tc>
        <w:tc>
          <w:tcPr>
            <w:tcW w:w="72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181,280</w:t>
            </w:r>
          </w:p>
        </w:tc>
        <w:tc>
          <w:tcPr>
            <w:tcW w:w="63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217,015</w:t>
            </w:r>
          </w:p>
        </w:tc>
        <w:tc>
          <w:tcPr>
            <w:tcW w:w="72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217,015</w:t>
            </w:r>
          </w:p>
        </w:tc>
      </w:tr>
      <w:tr w:rsidR="00D64FA6" w:rsidRPr="00CE0560" w:rsidTr="003D0FF3">
        <w:trPr>
          <w:trHeight w:val="173"/>
        </w:trPr>
        <w:tc>
          <w:tcPr>
            <w:tcW w:w="43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r>
      <w:tr w:rsidR="00D64FA6" w:rsidRPr="00CE0560" w:rsidTr="003D0FF3">
        <w:trPr>
          <w:trHeight w:val="173"/>
        </w:trPr>
        <w:tc>
          <w:tcPr>
            <w:tcW w:w="10350" w:type="dxa"/>
            <w:gridSpan w:val="10"/>
            <w:tcBorders>
              <w:top w:val="single" w:sz="12" w:space="0" w:color="auto"/>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Source: Finance Department SBP</w:t>
            </w:r>
          </w:p>
          <w:p w:rsidR="00D64FA6" w:rsidRPr="00CE0560" w:rsidRDefault="00D64FA6" w:rsidP="00D64FA6">
            <w:pPr>
              <w:jc w:val="left"/>
              <w:rPr>
                <w:sz w:val="14"/>
                <w:szCs w:val="14"/>
              </w:rPr>
            </w:pPr>
            <w:r>
              <w:rPr>
                <w:sz w:val="14"/>
                <w:szCs w:val="14"/>
              </w:rPr>
              <w:t xml:space="preserve">Note: </w:t>
            </w:r>
            <w:r w:rsidRPr="0013686F">
              <w:rPr>
                <w:sz w:val="14"/>
                <w:szCs w:val="14"/>
              </w:rPr>
              <w:t xml:space="preserve">SBP revised </w:t>
            </w:r>
            <w:r>
              <w:rPr>
                <w:sz w:val="14"/>
                <w:szCs w:val="14"/>
              </w:rPr>
              <w:t xml:space="preserve">its </w:t>
            </w:r>
            <w:r w:rsidRPr="0013686F">
              <w:rPr>
                <w:sz w:val="14"/>
                <w:szCs w:val="14"/>
              </w:rPr>
              <w:t>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547" w:type="dxa"/>
        <w:jc w:val="center"/>
        <w:tblLook w:val="04A0" w:firstRow="1" w:lastRow="0" w:firstColumn="1" w:lastColumn="0" w:noHBand="0" w:noVBand="1"/>
      </w:tblPr>
      <w:tblGrid>
        <w:gridCol w:w="3420"/>
        <w:gridCol w:w="900"/>
        <w:gridCol w:w="815"/>
        <w:gridCol w:w="774"/>
        <w:gridCol w:w="830"/>
        <w:gridCol w:w="716"/>
        <w:gridCol w:w="724"/>
        <w:gridCol w:w="767"/>
        <w:gridCol w:w="851"/>
        <w:gridCol w:w="750"/>
      </w:tblGrid>
      <w:tr w:rsidR="00B34F49" w:rsidRPr="00B34F49" w:rsidTr="00E41B73">
        <w:trPr>
          <w:trHeight w:val="375"/>
          <w:jc w:val="center"/>
        </w:trPr>
        <w:tc>
          <w:tcPr>
            <w:tcW w:w="10547"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Consolidated Position</w:t>
            </w:r>
          </w:p>
        </w:tc>
      </w:tr>
      <w:tr w:rsidR="00B34F49" w:rsidRPr="00B34F49" w:rsidTr="00E41B73">
        <w:trPr>
          <w:trHeight w:val="315"/>
          <w:jc w:val="center"/>
        </w:trPr>
        <w:tc>
          <w:tcPr>
            <w:tcW w:w="10547"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E41B73">
        <w:trPr>
          <w:trHeight w:val="207"/>
          <w:jc w:val="center"/>
        </w:trPr>
        <w:tc>
          <w:tcPr>
            <w:tcW w:w="10547"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FC1C33" w:rsidRPr="00B34F49" w:rsidTr="00D8784E">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FC1C33" w:rsidRPr="005249C8" w:rsidRDefault="00FC1C33"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FC1C33" w:rsidRPr="00AB7A08" w:rsidRDefault="00FC1C33"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FC1C33" w:rsidRPr="00AB7A08" w:rsidRDefault="00FC1C33" w:rsidP="003A5015">
            <w:pPr>
              <w:jc w:val="right"/>
              <w:rPr>
                <w:b/>
                <w:bCs/>
                <w:color w:val="auto"/>
                <w:szCs w:val="16"/>
              </w:rPr>
            </w:pPr>
            <w:r w:rsidRPr="00AB7A08">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FC1C33" w:rsidRPr="00AB7A08" w:rsidRDefault="00FC1C33" w:rsidP="003A5015">
            <w:pPr>
              <w:jc w:val="right"/>
              <w:rPr>
                <w:b/>
                <w:bCs/>
                <w:color w:val="auto"/>
                <w:szCs w:val="16"/>
              </w:rPr>
            </w:pPr>
            <w:r>
              <w:rPr>
                <w:b/>
                <w:bCs/>
                <w:color w:val="auto"/>
                <w:szCs w:val="16"/>
              </w:rPr>
              <w:t>FY20</w:t>
            </w:r>
          </w:p>
        </w:tc>
        <w:tc>
          <w:tcPr>
            <w:tcW w:w="1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C1C33" w:rsidRPr="006619BF" w:rsidRDefault="00FC1C33" w:rsidP="003A5015">
            <w:pPr>
              <w:rPr>
                <w:b/>
                <w:bCs/>
                <w:color w:val="auto"/>
                <w:szCs w:val="16"/>
              </w:rPr>
            </w:pPr>
            <w:r>
              <w:rPr>
                <w:b/>
                <w:bCs/>
                <w:color w:val="auto"/>
                <w:szCs w:val="16"/>
              </w:rPr>
              <w:t>2020</w:t>
            </w:r>
          </w:p>
        </w:tc>
        <w:tc>
          <w:tcPr>
            <w:tcW w:w="3092" w:type="dxa"/>
            <w:gridSpan w:val="4"/>
            <w:tcBorders>
              <w:top w:val="single" w:sz="12" w:space="0" w:color="auto"/>
              <w:left w:val="single" w:sz="4" w:space="0" w:color="auto"/>
              <w:bottom w:val="single" w:sz="4" w:space="0" w:color="auto"/>
              <w:right w:val="nil"/>
            </w:tcBorders>
            <w:shd w:val="clear" w:color="auto" w:fill="auto"/>
            <w:vAlign w:val="center"/>
          </w:tcPr>
          <w:p w:rsidR="00FC1C33" w:rsidRPr="006619BF" w:rsidRDefault="00FC1C33" w:rsidP="003A5015">
            <w:pPr>
              <w:rPr>
                <w:b/>
                <w:bCs/>
                <w:color w:val="auto"/>
                <w:szCs w:val="16"/>
              </w:rPr>
            </w:pPr>
            <w:r>
              <w:rPr>
                <w:b/>
                <w:bCs/>
                <w:color w:val="auto"/>
                <w:szCs w:val="16"/>
              </w:rPr>
              <w:t>2021</w:t>
            </w:r>
          </w:p>
        </w:tc>
      </w:tr>
      <w:tr w:rsidR="00A70FC7" w:rsidRPr="00F06977" w:rsidTr="00D8784E">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A70FC7" w:rsidRPr="00273A44" w:rsidRDefault="00A70FC7" w:rsidP="00A70FC7">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0FC7" w:rsidRPr="006619BF" w:rsidRDefault="00A70FC7" w:rsidP="00A70FC7">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A70FC7" w:rsidP="00A70FC7">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Jun</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70FC7" w:rsidRPr="006619BF" w:rsidRDefault="005B419B" w:rsidP="00A70FC7">
            <w:pPr>
              <w:jc w:val="right"/>
              <w:rPr>
                <w:b/>
                <w:color w:val="auto"/>
                <w:sz w:val="14"/>
                <w:szCs w:val="14"/>
              </w:rPr>
            </w:pPr>
            <w:r>
              <w:rPr>
                <w:b/>
                <w:color w:val="auto"/>
                <w:sz w:val="14"/>
                <w:szCs w:val="14"/>
              </w:rPr>
              <w:t>Jul</w:t>
            </w:r>
          </w:p>
        </w:tc>
        <w:tc>
          <w:tcPr>
            <w:tcW w:w="72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Apr</w:t>
            </w:r>
          </w:p>
        </w:tc>
        <w:tc>
          <w:tcPr>
            <w:tcW w:w="767" w:type="dxa"/>
            <w:tcBorders>
              <w:top w:val="single" w:sz="4" w:space="0" w:color="auto"/>
              <w:bottom w:val="single" w:sz="12"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r>
              <w:rPr>
                <w:b/>
                <w:color w:val="auto"/>
                <w:sz w:val="14"/>
                <w:szCs w:val="14"/>
              </w:rPr>
              <w:t>May</w:t>
            </w:r>
          </w:p>
        </w:tc>
        <w:tc>
          <w:tcPr>
            <w:tcW w:w="851" w:type="dxa"/>
            <w:tcBorders>
              <w:top w:val="single" w:sz="4" w:space="0" w:color="auto"/>
              <w:bottom w:val="single" w:sz="12" w:space="0" w:color="auto"/>
            </w:tcBorders>
            <w:shd w:val="clear" w:color="auto" w:fill="auto"/>
            <w:tcMar>
              <w:left w:w="43" w:type="dxa"/>
              <w:right w:w="43" w:type="dxa"/>
            </w:tcMar>
            <w:vAlign w:val="center"/>
          </w:tcPr>
          <w:p w:rsidR="00A70FC7" w:rsidRPr="006619BF" w:rsidRDefault="00A70FC7" w:rsidP="00A70FC7">
            <w:pPr>
              <w:jc w:val="right"/>
              <w:rPr>
                <w:b/>
                <w:color w:val="auto"/>
                <w:sz w:val="14"/>
                <w:szCs w:val="14"/>
              </w:rPr>
            </w:pPr>
            <w:r>
              <w:rPr>
                <w:b/>
                <w:color w:val="auto"/>
                <w:sz w:val="14"/>
                <w:szCs w:val="14"/>
              </w:rPr>
              <w:t>Jun</w:t>
            </w:r>
          </w:p>
        </w:tc>
        <w:tc>
          <w:tcPr>
            <w:tcW w:w="750" w:type="dxa"/>
            <w:tcBorders>
              <w:top w:val="single" w:sz="4" w:space="0" w:color="auto"/>
              <w:bottom w:val="single" w:sz="12" w:space="0" w:color="auto"/>
              <w:right w:val="nil"/>
            </w:tcBorders>
            <w:shd w:val="clear" w:color="auto" w:fill="auto"/>
            <w:tcMar>
              <w:left w:w="43" w:type="dxa"/>
              <w:right w:w="43" w:type="dxa"/>
            </w:tcMar>
            <w:vAlign w:val="center"/>
          </w:tcPr>
          <w:p w:rsidR="00A70FC7" w:rsidRPr="006619BF" w:rsidRDefault="005B419B" w:rsidP="00A70FC7">
            <w:pPr>
              <w:jc w:val="right"/>
              <w:rPr>
                <w:b/>
                <w:color w:val="auto"/>
                <w:sz w:val="14"/>
                <w:szCs w:val="14"/>
              </w:rPr>
            </w:pPr>
            <w:r>
              <w:rPr>
                <w:b/>
                <w:color w:val="auto"/>
                <w:sz w:val="14"/>
                <w:szCs w:val="14"/>
              </w:rPr>
              <w:t>Jul</w:t>
            </w:r>
          </w:p>
        </w:tc>
      </w:tr>
      <w:tr w:rsidR="00A70FC7" w:rsidRPr="00B34F49" w:rsidTr="00E41B73">
        <w:trPr>
          <w:trHeight w:hRule="exact" w:val="202"/>
          <w:jc w:val="center"/>
        </w:trPr>
        <w:tc>
          <w:tcPr>
            <w:tcW w:w="3420" w:type="dxa"/>
            <w:tcBorders>
              <w:top w:val="nil"/>
              <w:left w:val="nil"/>
              <w:bottom w:val="nil"/>
              <w:right w:val="nil"/>
            </w:tcBorders>
            <w:shd w:val="clear" w:color="auto" w:fill="auto"/>
            <w:noWrap/>
            <w:vAlign w:val="center"/>
            <w:hideMark/>
          </w:tcPr>
          <w:p w:rsidR="00A70FC7" w:rsidRPr="00B34F49" w:rsidRDefault="00A70FC7" w:rsidP="00A70FC7">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A70FC7" w:rsidRPr="00B34F49" w:rsidRDefault="00A70FC7" w:rsidP="00A70FC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A70FC7" w:rsidRPr="002C2345" w:rsidRDefault="00A70FC7" w:rsidP="00A70FC7">
            <w:pPr>
              <w:jc w:val="right"/>
              <w:rPr>
                <w:sz w:val="14"/>
                <w:szCs w:val="14"/>
              </w:rPr>
            </w:pPr>
          </w:p>
        </w:tc>
        <w:tc>
          <w:tcPr>
            <w:tcW w:w="774" w:type="dxa"/>
            <w:tcBorders>
              <w:top w:val="nil"/>
              <w:left w:val="nil"/>
              <w:bottom w:val="nil"/>
              <w:right w:val="nil"/>
            </w:tcBorders>
            <w:shd w:val="clear" w:color="auto" w:fill="auto"/>
            <w:tcMar>
              <w:left w:w="43" w:type="dxa"/>
              <w:right w:w="43" w:type="dxa"/>
            </w:tcMar>
            <w:vAlign w:val="center"/>
          </w:tcPr>
          <w:p w:rsidR="00A70FC7" w:rsidRPr="002C2345" w:rsidRDefault="00A70FC7" w:rsidP="00A70FC7">
            <w:pPr>
              <w:jc w:val="right"/>
              <w:rPr>
                <w:sz w:val="14"/>
                <w:szCs w:val="14"/>
              </w:rPr>
            </w:pPr>
          </w:p>
        </w:tc>
        <w:tc>
          <w:tcPr>
            <w:tcW w:w="830" w:type="dxa"/>
            <w:tcBorders>
              <w:top w:val="nil"/>
              <w:left w:val="nil"/>
              <w:bottom w:val="nil"/>
              <w:right w:val="nil"/>
            </w:tcBorders>
            <w:shd w:val="clear" w:color="auto" w:fill="auto"/>
            <w:tcMar>
              <w:left w:w="43" w:type="dxa"/>
              <w:right w:w="43" w:type="dxa"/>
            </w:tcMar>
            <w:vAlign w:val="center"/>
            <w:hideMark/>
          </w:tcPr>
          <w:p w:rsidR="00A70FC7" w:rsidRPr="002C2345" w:rsidRDefault="00A70FC7" w:rsidP="00A70FC7">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A70FC7" w:rsidRPr="002C2345" w:rsidRDefault="00A70FC7" w:rsidP="00A70FC7">
            <w:pPr>
              <w:jc w:val="right"/>
              <w:rPr>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A70FC7" w:rsidRPr="002C2345" w:rsidRDefault="00A70FC7" w:rsidP="00A70FC7">
            <w:pPr>
              <w:jc w:val="right"/>
              <w:rPr>
                <w:sz w:val="14"/>
                <w:szCs w:val="14"/>
              </w:rPr>
            </w:pPr>
          </w:p>
        </w:tc>
        <w:tc>
          <w:tcPr>
            <w:tcW w:w="767" w:type="dxa"/>
            <w:tcBorders>
              <w:top w:val="nil"/>
              <w:left w:val="nil"/>
              <w:bottom w:val="nil"/>
              <w:right w:val="nil"/>
            </w:tcBorders>
            <w:shd w:val="clear" w:color="auto" w:fill="auto"/>
            <w:tcMar>
              <w:left w:w="43" w:type="dxa"/>
              <w:right w:w="43" w:type="dxa"/>
            </w:tcMar>
            <w:vAlign w:val="center"/>
          </w:tcPr>
          <w:p w:rsidR="00A70FC7" w:rsidRPr="002C2345" w:rsidRDefault="00A70FC7" w:rsidP="00A70FC7">
            <w:pPr>
              <w:jc w:val="right"/>
              <w:rPr>
                <w:sz w:val="14"/>
                <w:szCs w:val="14"/>
              </w:rPr>
            </w:pPr>
          </w:p>
        </w:tc>
        <w:tc>
          <w:tcPr>
            <w:tcW w:w="851" w:type="dxa"/>
            <w:tcBorders>
              <w:top w:val="nil"/>
              <w:left w:val="nil"/>
              <w:bottom w:val="nil"/>
              <w:right w:val="nil"/>
            </w:tcBorders>
            <w:shd w:val="clear" w:color="auto" w:fill="auto"/>
            <w:tcMar>
              <w:left w:w="43" w:type="dxa"/>
              <w:right w:w="43" w:type="dxa"/>
            </w:tcMar>
            <w:vAlign w:val="center"/>
          </w:tcPr>
          <w:p w:rsidR="00A70FC7" w:rsidRPr="002C2345" w:rsidRDefault="00A70FC7" w:rsidP="00A70FC7">
            <w:pPr>
              <w:jc w:val="right"/>
              <w:rPr>
                <w:sz w:val="14"/>
                <w:szCs w:val="14"/>
              </w:rPr>
            </w:pPr>
          </w:p>
        </w:tc>
        <w:tc>
          <w:tcPr>
            <w:tcW w:w="750" w:type="dxa"/>
            <w:tcBorders>
              <w:top w:val="nil"/>
              <w:left w:val="nil"/>
              <w:bottom w:val="nil"/>
              <w:right w:val="nil"/>
            </w:tcBorders>
            <w:shd w:val="clear" w:color="auto" w:fill="auto"/>
            <w:tcMar>
              <w:left w:w="43" w:type="dxa"/>
              <w:right w:w="43" w:type="dxa"/>
            </w:tcMar>
            <w:vAlign w:val="center"/>
          </w:tcPr>
          <w:p w:rsidR="00A70FC7" w:rsidRPr="002C2345" w:rsidRDefault="00A70FC7" w:rsidP="00A70FC7">
            <w:pPr>
              <w:jc w:val="right"/>
              <w:rPr>
                <w:sz w:val="14"/>
                <w:szCs w:val="14"/>
              </w:rPr>
            </w:pP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1,966,692</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1,408,559</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1,451,852</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1,574,981</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1,674,294</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1,528,246</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1,713,431</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195,992</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212,150</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271,935</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206,263</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192,907</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213,911</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214,267</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717,249</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843,513</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887,383</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785,942</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834,722</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966,673</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868,662</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7,624,217</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10,681,288</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10,808,949</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12,417,726</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13,014,096</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13,615,840</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14,102,208</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7,608,678</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7,655,531</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7,554,649</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8,033,111</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8,159,508</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8,202,049</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8,252,175</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8,096,771</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8,202,328</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8,119,600</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8,665,162</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8,792,101</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8,831,088</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8,882,972</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488,093</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546,797</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564,951</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632,051</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632,593</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629,039</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630,797</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468,981</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567,753</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574,592</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629,073</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632,820</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635,575</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637,233</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59,834</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56,161</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61,477</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74,224</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70,700</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70,764</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70,335</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943,951</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950,083</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862,908</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857,504</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888,944</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908,754</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881,963</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19,585,594</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22,375,037</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22,473,744</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24,578,824</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25,467,990</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26,141,812</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26,740,274</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299,737</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245,363</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236,224</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307,968</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310,625</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322,389</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311,590</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2,412,023</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2,865,768</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3,225,381</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3,722,927</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4,525,542</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4,097,113</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4,578,698</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14,458,307</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16,229,036</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16,121,585</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17,561,051</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17,635,420</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18,695,178</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18,832,331</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108,670</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126,296</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125,762</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112,734</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112,734</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112,732</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112,731</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2,134</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2,086</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1,870</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1,846</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1,823</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1,818</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22,591</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47,329</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45,198</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20,007</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20,239</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17,288</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19,886</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803,227</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964,493</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857,291</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1,006,712</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992,714</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997,101</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959,551</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18,104,555</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20,480,420</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20,613,527</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22,733,270</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23,599,119</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24,243,625</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24,816,605</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1,481,039</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1,894,617</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1,860,218</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1,845,554</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1,868,871</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1,898,187</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1,923,669</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20"/>
              </w:rPr>
            </w:pP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546,922</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556,465</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556,519</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560,618</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560,814</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561,451</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563,139</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340,060</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357,675</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359,135</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380,448</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380,821</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379,965</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382,843</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480,816</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618,864</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611,816</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648,760</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665,715</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696,938</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713,924</w:t>
            </w:r>
          </w:p>
        </w:tc>
      </w:tr>
      <w:tr w:rsidR="005B419B" w:rsidRPr="00B34F49" w:rsidTr="005B419B">
        <w:trPr>
          <w:trHeight w:hRule="exact" w:val="202"/>
          <w:jc w:val="center"/>
        </w:trPr>
        <w:tc>
          <w:tcPr>
            <w:tcW w:w="3420" w:type="dxa"/>
            <w:tcBorders>
              <w:top w:val="nil"/>
              <w:left w:val="nil"/>
              <w:bottom w:val="nil"/>
              <w:right w:val="nil"/>
            </w:tcBorders>
            <w:shd w:val="clear" w:color="auto" w:fill="auto"/>
            <w:noWrap/>
            <w:vAlign w:val="center"/>
            <w:hideMark/>
          </w:tcPr>
          <w:p w:rsidR="005B419B" w:rsidRPr="00B34F49" w:rsidRDefault="005B419B" w:rsidP="005B419B">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113,241</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361,613</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361,613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332,748</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255,728</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261,521</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259,833</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263,764</w:t>
            </w:r>
          </w:p>
        </w:tc>
      </w:tr>
      <w:tr w:rsidR="005B419B" w:rsidRPr="00B34F49" w:rsidTr="005B419B">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5B419B" w:rsidRPr="00B34F49" w:rsidRDefault="005B419B" w:rsidP="005B419B">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1,481,039</w:t>
            </w:r>
          </w:p>
        </w:tc>
        <w:tc>
          <w:tcPr>
            <w:tcW w:w="774" w:type="dxa"/>
            <w:tcBorders>
              <w:top w:val="nil"/>
              <w:left w:val="nil"/>
              <w:bottom w:val="single" w:sz="12" w:space="0" w:color="auto"/>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1,894,617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1,860,218</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1,845,554</w:t>
            </w:r>
          </w:p>
        </w:tc>
        <w:tc>
          <w:tcPr>
            <w:tcW w:w="767" w:type="dxa"/>
            <w:tcBorders>
              <w:top w:val="nil"/>
              <w:left w:val="nil"/>
              <w:bottom w:val="single" w:sz="12" w:space="0" w:color="auto"/>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1,868,871</w:t>
            </w:r>
          </w:p>
        </w:tc>
        <w:tc>
          <w:tcPr>
            <w:tcW w:w="851" w:type="dxa"/>
            <w:tcBorders>
              <w:top w:val="nil"/>
              <w:left w:val="nil"/>
              <w:bottom w:val="single" w:sz="12" w:space="0" w:color="auto"/>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1,898,187</w:t>
            </w:r>
          </w:p>
        </w:tc>
        <w:tc>
          <w:tcPr>
            <w:tcW w:w="750" w:type="dxa"/>
            <w:tcBorders>
              <w:top w:val="nil"/>
              <w:left w:val="nil"/>
              <w:bottom w:val="single" w:sz="12" w:space="0" w:color="auto"/>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1,923,669</w:t>
            </w:r>
          </w:p>
        </w:tc>
      </w:tr>
      <w:tr w:rsidR="00A70FC7" w:rsidRPr="00B34F49" w:rsidTr="00E41B73">
        <w:trPr>
          <w:trHeight w:hRule="exact" w:val="408"/>
          <w:jc w:val="center"/>
        </w:trPr>
        <w:tc>
          <w:tcPr>
            <w:tcW w:w="10547" w:type="dxa"/>
            <w:gridSpan w:val="10"/>
            <w:tcBorders>
              <w:top w:val="nil"/>
              <w:left w:val="nil"/>
              <w:bottom w:val="nil"/>
              <w:right w:val="nil"/>
            </w:tcBorders>
            <w:shd w:val="clear" w:color="auto" w:fill="auto"/>
            <w:noWrap/>
            <w:vAlign w:val="center"/>
            <w:hideMark/>
          </w:tcPr>
          <w:p w:rsidR="00A70FC7" w:rsidRDefault="00A70FC7" w:rsidP="00A70FC7">
            <w:pPr>
              <w:jc w:val="right"/>
              <w:rPr>
                <w:color w:val="auto"/>
                <w:sz w:val="14"/>
                <w:szCs w:val="16"/>
              </w:rPr>
            </w:pPr>
            <w:r w:rsidRPr="00B34F49">
              <w:rPr>
                <w:color w:val="auto"/>
                <w:sz w:val="14"/>
                <w:szCs w:val="16"/>
              </w:rPr>
              <w:t>Source: Off-Site Supervision &amp; Enforcement Department SBP</w:t>
            </w:r>
          </w:p>
          <w:p w:rsidR="00A70FC7" w:rsidRPr="00B34F49" w:rsidRDefault="00A70FC7" w:rsidP="00A70FC7">
            <w:pPr>
              <w:jc w:val="left"/>
              <w:rPr>
                <w:b/>
                <w:bCs/>
                <w:sz w:val="14"/>
                <w:szCs w:val="14"/>
              </w:rPr>
            </w:pPr>
            <w:r>
              <w:rPr>
                <w:color w:val="auto"/>
                <w:sz w:val="14"/>
                <w:szCs w:val="14"/>
              </w:rPr>
              <w:t>Note: Figures pertain to last week end of every month</w:t>
            </w:r>
          </w:p>
        </w:tc>
      </w:tr>
      <w:tr w:rsidR="00A70FC7" w:rsidRPr="00B34F49" w:rsidTr="00E41B73">
        <w:trPr>
          <w:trHeight w:hRule="exact" w:val="390"/>
          <w:jc w:val="center"/>
        </w:trPr>
        <w:tc>
          <w:tcPr>
            <w:tcW w:w="10547"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A70FC7" w:rsidRPr="00B34F49" w:rsidRDefault="00A70FC7" w:rsidP="00A70FC7">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A70FC7" w:rsidRPr="00B34F49" w:rsidTr="00E077A9">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A70FC7" w:rsidRPr="00B34F49" w:rsidRDefault="00A70FC7" w:rsidP="00A70FC7">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A70FC7" w:rsidRPr="00AB7A08" w:rsidRDefault="00A70FC7" w:rsidP="00A70FC7">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A70FC7" w:rsidRPr="00AB7A08" w:rsidRDefault="00A70FC7" w:rsidP="00A70FC7">
            <w:pPr>
              <w:jc w:val="right"/>
              <w:rPr>
                <w:b/>
                <w:bCs/>
                <w:color w:val="auto"/>
                <w:szCs w:val="16"/>
              </w:rPr>
            </w:pPr>
            <w:r>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A70FC7" w:rsidRPr="00AB7A08" w:rsidRDefault="00A70FC7" w:rsidP="00A70FC7">
            <w:pPr>
              <w:jc w:val="right"/>
              <w:rPr>
                <w:b/>
                <w:bCs/>
                <w:color w:val="auto"/>
                <w:szCs w:val="16"/>
              </w:rPr>
            </w:pPr>
            <w:r>
              <w:rPr>
                <w:b/>
                <w:bCs/>
                <w:color w:val="auto"/>
                <w:szCs w:val="16"/>
              </w:rPr>
              <w:t>FY20</w:t>
            </w:r>
          </w:p>
        </w:tc>
        <w:tc>
          <w:tcPr>
            <w:tcW w:w="1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70FC7" w:rsidRPr="006619BF" w:rsidRDefault="00A70FC7" w:rsidP="00A70FC7">
            <w:pPr>
              <w:rPr>
                <w:b/>
                <w:bCs/>
                <w:color w:val="auto"/>
                <w:szCs w:val="16"/>
              </w:rPr>
            </w:pPr>
            <w:r>
              <w:rPr>
                <w:b/>
                <w:bCs/>
                <w:color w:val="auto"/>
                <w:szCs w:val="16"/>
              </w:rPr>
              <w:t>2020</w:t>
            </w:r>
          </w:p>
        </w:tc>
        <w:tc>
          <w:tcPr>
            <w:tcW w:w="3092" w:type="dxa"/>
            <w:gridSpan w:val="4"/>
            <w:tcBorders>
              <w:top w:val="single" w:sz="12" w:space="0" w:color="auto"/>
              <w:left w:val="single" w:sz="4" w:space="0" w:color="auto"/>
              <w:bottom w:val="single" w:sz="4" w:space="0" w:color="auto"/>
              <w:right w:val="nil"/>
            </w:tcBorders>
            <w:shd w:val="clear" w:color="auto" w:fill="auto"/>
            <w:vAlign w:val="center"/>
          </w:tcPr>
          <w:p w:rsidR="00A70FC7" w:rsidRPr="006619BF" w:rsidRDefault="00A70FC7" w:rsidP="00A70FC7">
            <w:pPr>
              <w:rPr>
                <w:b/>
                <w:bCs/>
                <w:color w:val="auto"/>
                <w:szCs w:val="16"/>
              </w:rPr>
            </w:pPr>
            <w:r>
              <w:rPr>
                <w:b/>
                <w:bCs/>
                <w:color w:val="auto"/>
                <w:szCs w:val="16"/>
              </w:rPr>
              <w:t>2021</w:t>
            </w:r>
          </w:p>
        </w:tc>
      </w:tr>
      <w:tr w:rsidR="00A70FC7" w:rsidRPr="00B34F49" w:rsidTr="00E077A9">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A70FC7" w:rsidRPr="00B34F49" w:rsidRDefault="00A70FC7" w:rsidP="00A70FC7">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70FC7" w:rsidRPr="006619BF" w:rsidRDefault="00A70FC7" w:rsidP="00A70FC7">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70FC7" w:rsidRPr="006619BF" w:rsidRDefault="00A70FC7" w:rsidP="00A70FC7">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70FC7" w:rsidRPr="006619BF" w:rsidRDefault="00A70FC7" w:rsidP="00A70FC7">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May</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A70FC7" w:rsidRPr="006619BF" w:rsidRDefault="005B419B" w:rsidP="00A70FC7">
            <w:pPr>
              <w:jc w:val="right"/>
              <w:rPr>
                <w:b/>
                <w:color w:val="auto"/>
                <w:sz w:val="14"/>
                <w:szCs w:val="14"/>
              </w:rPr>
            </w:pPr>
            <w:r>
              <w:rPr>
                <w:b/>
                <w:color w:val="auto"/>
                <w:sz w:val="14"/>
                <w:szCs w:val="14"/>
              </w:rPr>
              <w:t>Jun</w:t>
            </w:r>
          </w:p>
        </w:tc>
        <w:tc>
          <w:tcPr>
            <w:tcW w:w="72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70FC7" w:rsidRPr="006619BF" w:rsidRDefault="00A70FC7" w:rsidP="00A70FC7">
            <w:pPr>
              <w:jc w:val="right"/>
              <w:rPr>
                <w:b/>
                <w:color w:val="auto"/>
                <w:sz w:val="14"/>
                <w:szCs w:val="14"/>
              </w:rPr>
            </w:pPr>
            <w:r>
              <w:rPr>
                <w:b/>
                <w:color w:val="auto"/>
                <w:sz w:val="14"/>
                <w:szCs w:val="14"/>
              </w:rPr>
              <w:t>Mar</w:t>
            </w:r>
          </w:p>
        </w:tc>
        <w:tc>
          <w:tcPr>
            <w:tcW w:w="767" w:type="dxa"/>
            <w:tcBorders>
              <w:top w:val="single" w:sz="4" w:space="0" w:color="auto"/>
              <w:bottom w:val="single" w:sz="12" w:space="0" w:color="auto"/>
            </w:tcBorders>
            <w:shd w:val="clear" w:color="auto" w:fill="auto"/>
            <w:noWrap/>
            <w:tcMar>
              <w:left w:w="43" w:type="dxa"/>
              <w:right w:w="43" w:type="dxa"/>
            </w:tcMar>
            <w:vAlign w:val="center"/>
          </w:tcPr>
          <w:p w:rsidR="00A70FC7" w:rsidRPr="006619BF" w:rsidRDefault="00A70FC7" w:rsidP="00A70FC7">
            <w:pPr>
              <w:jc w:val="right"/>
              <w:rPr>
                <w:b/>
                <w:color w:val="auto"/>
                <w:sz w:val="14"/>
                <w:szCs w:val="14"/>
              </w:rPr>
            </w:pPr>
            <w:r>
              <w:rPr>
                <w:b/>
                <w:color w:val="auto"/>
                <w:sz w:val="14"/>
                <w:szCs w:val="14"/>
              </w:rPr>
              <w:t>Apr</w:t>
            </w:r>
          </w:p>
        </w:tc>
        <w:tc>
          <w:tcPr>
            <w:tcW w:w="851" w:type="dxa"/>
            <w:tcBorders>
              <w:top w:val="single" w:sz="4" w:space="0" w:color="auto"/>
              <w:bottom w:val="single" w:sz="12" w:space="0" w:color="auto"/>
            </w:tcBorders>
            <w:shd w:val="clear" w:color="auto" w:fill="auto"/>
            <w:noWrap/>
            <w:tcMar>
              <w:left w:w="43" w:type="dxa"/>
              <w:right w:w="43" w:type="dxa"/>
            </w:tcMar>
            <w:vAlign w:val="center"/>
          </w:tcPr>
          <w:p w:rsidR="00A70FC7" w:rsidRPr="006619BF" w:rsidRDefault="00A70FC7" w:rsidP="00A70FC7">
            <w:pPr>
              <w:jc w:val="right"/>
              <w:rPr>
                <w:b/>
                <w:color w:val="auto"/>
                <w:sz w:val="14"/>
                <w:szCs w:val="14"/>
              </w:rPr>
            </w:pPr>
            <w:r>
              <w:rPr>
                <w:b/>
                <w:color w:val="auto"/>
                <w:sz w:val="14"/>
                <w:szCs w:val="14"/>
              </w:rPr>
              <w:t>May</w:t>
            </w:r>
          </w:p>
        </w:tc>
        <w:tc>
          <w:tcPr>
            <w:tcW w:w="750" w:type="dxa"/>
            <w:tcBorders>
              <w:top w:val="single" w:sz="4" w:space="0" w:color="auto"/>
              <w:bottom w:val="single" w:sz="12" w:space="0" w:color="auto"/>
              <w:right w:val="nil"/>
            </w:tcBorders>
            <w:shd w:val="clear" w:color="auto" w:fill="auto"/>
            <w:noWrap/>
            <w:tcMar>
              <w:left w:w="43" w:type="dxa"/>
              <w:right w:w="43" w:type="dxa"/>
            </w:tcMar>
            <w:vAlign w:val="center"/>
          </w:tcPr>
          <w:p w:rsidR="00A70FC7" w:rsidRPr="006619BF" w:rsidRDefault="005B419B" w:rsidP="00A70FC7">
            <w:pPr>
              <w:jc w:val="right"/>
              <w:rPr>
                <w:b/>
                <w:color w:val="auto"/>
                <w:sz w:val="14"/>
                <w:szCs w:val="14"/>
              </w:rPr>
            </w:pPr>
            <w:r>
              <w:rPr>
                <w:b/>
                <w:color w:val="auto"/>
                <w:sz w:val="14"/>
                <w:szCs w:val="14"/>
              </w:rPr>
              <w:t>Jun</w:t>
            </w:r>
          </w:p>
        </w:tc>
      </w:tr>
      <w:tr w:rsidR="005B419B" w:rsidRPr="00B34F49" w:rsidTr="005B419B">
        <w:trPr>
          <w:trHeight w:hRule="exact" w:val="327"/>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12,928,902</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14,142,999</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13,378,344</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14,142,999</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15,216,465</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15,062,664</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15,608,357</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16,618,909</w:t>
            </w:r>
          </w:p>
        </w:tc>
      </w:tr>
      <w:tr w:rsidR="005B419B" w:rsidRPr="00B34F49" w:rsidTr="005B419B">
        <w:trPr>
          <w:trHeight w:hRule="exact" w:val="324"/>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1,429,689</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1,791,929</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1,827,414</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1,791,929</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1,755,579</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1,741,577</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1,832,142</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1,875,316</w:t>
            </w:r>
          </w:p>
        </w:tc>
      </w:tr>
      <w:tr w:rsidR="005B419B" w:rsidRPr="00B34F49" w:rsidTr="005B419B">
        <w:trPr>
          <w:trHeight w:hRule="exact" w:val="360"/>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14,358,591</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15,934,928</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15,205,758</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15,934,928</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16,972,045</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16,804,241</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17,440,499</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18,494,226</w:t>
            </w:r>
          </w:p>
        </w:tc>
      </w:tr>
      <w:tr w:rsidR="005B419B" w:rsidRPr="00B34F49" w:rsidTr="005B419B">
        <w:trPr>
          <w:trHeight w:hRule="exact" w:val="360"/>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7,213,730</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8,611,065</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8,030,344</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8,611,065</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b/>
                <w:bCs/>
                <w:sz w:val="14"/>
                <w:szCs w:val="14"/>
              </w:rPr>
            </w:pPr>
            <w:r>
              <w:rPr>
                <w:b/>
                <w:bCs/>
                <w:sz w:val="14"/>
                <w:szCs w:val="14"/>
              </w:rPr>
              <w:t>10,983,216</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11,146,816</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11,483,574</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b/>
                <w:bCs/>
                <w:sz w:val="14"/>
                <w:szCs w:val="14"/>
              </w:rPr>
            </w:pPr>
            <w:r>
              <w:rPr>
                <w:b/>
                <w:bCs/>
                <w:sz w:val="14"/>
                <w:szCs w:val="14"/>
              </w:rPr>
              <w:t>12,439,752</w:t>
            </w:r>
          </w:p>
        </w:tc>
      </w:tr>
      <w:tr w:rsidR="005B419B" w:rsidRPr="00B34F49" w:rsidTr="005B419B">
        <w:trPr>
          <w:trHeight w:hRule="exact" w:val="270"/>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414,380</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374,689</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439,719</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374,689</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383,607</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421,457</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514,844</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418,418</w:t>
            </w:r>
          </w:p>
        </w:tc>
      </w:tr>
      <w:tr w:rsidR="005B419B" w:rsidRPr="00B34F49" w:rsidTr="005B419B">
        <w:trPr>
          <w:trHeight w:hRule="exact" w:val="270"/>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986,670</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606,361</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573,972</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606,361</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737,383</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727,330</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722,932</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700,455</w:t>
            </w:r>
          </w:p>
        </w:tc>
      </w:tr>
      <w:tr w:rsidR="005B419B" w:rsidRPr="00B34F49" w:rsidTr="005B419B">
        <w:trPr>
          <w:trHeight w:hRule="exact" w:val="315"/>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278,359</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193,531</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152,056</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193,531</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92,153</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50,182</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234,871</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197,018</w:t>
            </w:r>
          </w:p>
        </w:tc>
      </w:tr>
      <w:tr w:rsidR="005B419B" w:rsidRPr="00B34F49" w:rsidTr="005B419B">
        <w:trPr>
          <w:trHeight w:hRule="exact" w:val="279"/>
          <w:jc w:val="center"/>
        </w:trPr>
        <w:tc>
          <w:tcPr>
            <w:tcW w:w="3420" w:type="dxa"/>
            <w:tcBorders>
              <w:top w:val="nil"/>
              <w:left w:val="nil"/>
              <w:bottom w:val="nil"/>
              <w:right w:val="nil"/>
            </w:tcBorders>
            <w:shd w:val="clear" w:color="auto" w:fill="auto"/>
            <w:vAlign w:val="center"/>
            <w:hideMark/>
          </w:tcPr>
          <w:p w:rsidR="005B419B" w:rsidRPr="00B34F49" w:rsidRDefault="005B419B" w:rsidP="005B419B">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5,486,577</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7,390,284</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6,819,294</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7,390,284</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9,725,762</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9,904,721</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9,967,477</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11,079,775</w:t>
            </w:r>
          </w:p>
        </w:tc>
      </w:tr>
      <w:tr w:rsidR="005B419B" w:rsidRPr="00B34F49" w:rsidTr="005B419B">
        <w:trPr>
          <w:trHeight w:hRule="exact" w:val="324"/>
          <w:jc w:val="center"/>
        </w:trPr>
        <w:tc>
          <w:tcPr>
            <w:tcW w:w="3420" w:type="dxa"/>
            <w:tcBorders>
              <w:top w:val="nil"/>
              <w:left w:val="nil"/>
              <w:bottom w:val="nil"/>
              <w:right w:val="nil"/>
            </w:tcBorders>
            <w:shd w:val="clear" w:color="auto" w:fill="auto"/>
            <w:vAlign w:val="center"/>
            <w:hideMark/>
          </w:tcPr>
          <w:p w:rsidR="005B419B" w:rsidRPr="007E3CF2" w:rsidRDefault="005B419B" w:rsidP="005B419B">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47,744</w:t>
            </w:r>
          </w:p>
        </w:tc>
        <w:tc>
          <w:tcPr>
            <w:tcW w:w="774"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46,201</w:t>
            </w:r>
          </w:p>
        </w:tc>
        <w:tc>
          <w:tcPr>
            <w:tcW w:w="830"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45,303</w:t>
            </w:r>
          </w:p>
        </w:tc>
        <w:tc>
          <w:tcPr>
            <w:tcW w:w="716"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46,201</w:t>
            </w:r>
          </w:p>
        </w:tc>
        <w:tc>
          <w:tcPr>
            <w:tcW w:w="724" w:type="dxa"/>
            <w:tcBorders>
              <w:top w:val="nil"/>
              <w:left w:val="nil"/>
              <w:bottom w:val="nil"/>
              <w:right w:val="nil"/>
            </w:tcBorders>
            <w:shd w:val="clear" w:color="auto" w:fill="auto"/>
            <w:tcMar>
              <w:left w:w="43" w:type="dxa"/>
              <w:right w:w="43" w:type="dxa"/>
            </w:tcMar>
            <w:vAlign w:val="center"/>
            <w:hideMark/>
          </w:tcPr>
          <w:p w:rsidR="005B419B" w:rsidRDefault="005B419B" w:rsidP="005B419B">
            <w:pPr>
              <w:jc w:val="right"/>
              <w:rPr>
                <w:sz w:val="14"/>
                <w:szCs w:val="14"/>
              </w:rPr>
            </w:pPr>
            <w:r>
              <w:rPr>
                <w:sz w:val="14"/>
                <w:szCs w:val="14"/>
              </w:rPr>
              <w:t>44,310</w:t>
            </w:r>
          </w:p>
        </w:tc>
        <w:tc>
          <w:tcPr>
            <w:tcW w:w="767"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43,126</w:t>
            </w:r>
          </w:p>
        </w:tc>
        <w:tc>
          <w:tcPr>
            <w:tcW w:w="851"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43,450</w:t>
            </w:r>
          </w:p>
        </w:tc>
        <w:tc>
          <w:tcPr>
            <w:tcW w:w="750" w:type="dxa"/>
            <w:tcBorders>
              <w:top w:val="nil"/>
              <w:left w:val="nil"/>
              <w:bottom w:val="nil"/>
              <w:right w:val="nil"/>
            </w:tcBorders>
            <w:shd w:val="clear" w:color="auto" w:fill="auto"/>
            <w:tcMar>
              <w:left w:w="43" w:type="dxa"/>
              <w:right w:w="43" w:type="dxa"/>
            </w:tcMar>
            <w:vAlign w:val="center"/>
          </w:tcPr>
          <w:p w:rsidR="005B419B" w:rsidRDefault="005B419B" w:rsidP="005B419B">
            <w:pPr>
              <w:jc w:val="right"/>
              <w:rPr>
                <w:sz w:val="14"/>
                <w:szCs w:val="14"/>
              </w:rPr>
            </w:pPr>
            <w:r>
              <w:rPr>
                <w:sz w:val="14"/>
                <w:szCs w:val="14"/>
              </w:rPr>
              <w:t>44,086</w:t>
            </w:r>
          </w:p>
        </w:tc>
      </w:tr>
      <w:tr w:rsidR="0037559A" w:rsidRPr="00B34F49" w:rsidTr="005B419B">
        <w:trPr>
          <w:trHeight w:hRule="exact" w:val="243"/>
          <w:jc w:val="center"/>
        </w:trPr>
        <w:tc>
          <w:tcPr>
            <w:tcW w:w="3420" w:type="dxa"/>
            <w:tcBorders>
              <w:top w:val="nil"/>
              <w:left w:val="nil"/>
              <w:bottom w:val="nil"/>
              <w:right w:val="nil"/>
            </w:tcBorders>
            <w:shd w:val="clear" w:color="auto" w:fill="auto"/>
            <w:vAlign w:val="center"/>
            <w:hideMark/>
          </w:tcPr>
          <w:p w:rsidR="0037559A" w:rsidRPr="00B34F49" w:rsidRDefault="0037559A" w:rsidP="0037559A">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w:t>
            </w:r>
          </w:p>
        </w:tc>
        <w:tc>
          <w:tcPr>
            <w:tcW w:w="830" w:type="dxa"/>
            <w:tcBorders>
              <w:top w:val="nil"/>
              <w:left w:val="nil"/>
              <w:bottom w:val="nil"/>
              <w:right w:val="nil"/>
            </w:tcBorders>
            <w:shd w:val="clear" w:color="auto" w:fill="auto"/>
            <w:tcMar>
              <w:left w:w="43" w:type="dxa"/>
              <w:right w:w="43" w:type="dxa"/>
            </w:tcMar>
            <w:vAlign w:val="center"/>
            <w:hideMark/>
          </w:tcPr>
          <w:p w:rsidR="0037559A" w:rsidRDefault="0037559A" w:rsidP="0037559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w:t>
            </w:r>
          </w:p>
        </w:tc>
        <w:tc>
          <w:tcPr>
            <w:tcW w:w="724" w:type="dxa"/>
            <w:tcBorders>
              <w:top w:val="nil"/>
              <w:left w:val="nil"/>
              <w:bottom w:val="nil"/>
              <w:right w:val="nil"/>
            </w:tcBorders>
            <w:shd w:val="clear" w:color="auto" w:fill="auto"/>
            <w:tcMar>
              <w:left w:w="43" w:type="dxa"/>
              <w:right w:w="43" w:type="dxa"/>
            </w:tcMar>
            <w:vAlign w:val="center"/>
            <w:hideMark/>
          </w:tcPr>
          <w:p w:rsidR="0037559A" w:rsidRDefault="0037559A" w:rsidP="0037559A">
            <w:pPr>
              <w:jc w:val="right"/>
              <w:rPr>
                <w:sz w:val="14"/>
                <w:szCs w:val="14"/>
              </w:rPr>
            </w:pPr>
            <w:r>
              <w:rPr>
                <w:sz w:val="14"/>
                <w:szCs w:val="14"/>
              </w:rPr>
              <w:t>-</w:t>
            </w:r>
          </w:p>
        </w:tc>
        <w:tc>
          <w:tcPr>
            <w:tcW w:w="767"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w:t>
            </w:r>
          </w:p>
        </w:tc>
        <w:tc>
          <w:tcPr>
            <w:tcW w:w="851"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w:t>
            </w:r>
          </w:p>
        </w:tc>
      </w:tr>
      <w:tr w:rsidR="0037559A" w:rsidRPr="00B34F49" w:rsidTr="005B419B">
        <w:trPr>
          <w:trHeight w:hRule="exact" w:val="315"/>
          <w:jc w:val="center"/>
        </w:trPr>
        <w:tc>
          <w:tcPr>
            <w:tcW w:w="3420" w:type="dxa"/>
            <w:tcBorders>
              <w:top w:val="nil"/>
              <w:left w:val="nil"/>
              <w:bottom w:val="nil"/>
              <w:right w:val="nil"/>
            </w:tcBorders>
            <w:shd w:val="clear" w:color="auto" w:fill="auto"/>
            <w:vAlign w:val="center"/>
            <w:hideMark/>
          </w:tcPr>
          <w:p w:rsidR="0037559A" w:rsidRPr="00B34F49" w:rsidRDefault="0037559A" w:rsidP="0037559A">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2,996,069</w:t>
            </w:r>
          </w:p>
        </w:tc>
        <w:tc>
          <w:tcPr>
            <w:tcW w:w="774"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3,270,049</w:t>
            </w:r>
          </w:p>
        </w:tc>
        <w:tc>
          <w:tcPr>
            <w:tcW w:w="830" w:type="dxa"/>
            <w:tcBorders>
              <w:top w:val="nil"/>
              <w:left w:val="nil"/>
              <w:bottom w:val="nil"/>
              <w:right w:val="nil"/>
            </w:tcBorders>
            <w:shd w:val="clear" w:color="auto" w:fill="auto"/>
            <w:tcMar>
              <w:left w:w="43" w:type="dxa"/>
              <w:right w:w="43" w:type="dxa"/>
            </w:tcMar>
            <w:vAlign w:val="center"/>
            <w:hideMark/>
          </w:tcPr>
          <w:p w:rsidR="0037559A" w:rsidRDefault="0037559A" w:rsidP="0037559A">
            <w:pPr>
              <w:jc w:val="right"/>
              <w:rPr>
                <w:sz w:val="14"/>
                <w:szCs w:val="14"/>
              </w:rPr>
            </w:pPr>
            <w:r>
              <w:rPr>
                <w:sz w:val="14"/>
                <w:szCs w:val="14"/>
              </w:rPr>
              <w:t>3,094,154</w:t>
            </w:r>
          </w:p>
        </w:tc>
        <w:tc>
          <w:tcPr>
            <w:tcW w:w="716"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3,270,049</w:t>
            </w:r>
          </w:p>
        </w:tc>
        <w:tc>
          <w:tcPr>
            <w:tcW w:w="724" w:type="dxa"/>
            <w:tcBorders>
              <w:top w:val="nil"/>
              <w:left w:val="nil"/>
              <w:bottom w:val="nil"/>
              <w:right w:val="nil"/>
            </w:tcBorders>
            <w:shd w:val="clear" w:color="auto" w:fill="auto"/>
            <w:tcMar>
              <w:left w:w="43" w:type="dxa"/>
              <w:right w:w="43" w:type="dxa"/>
            </w:tcMar>
            <w:vAlign w:val="center"/>
            <w:hideMark/>
          </w:tcPr>
          <w:p w:rsidR="0037559A" w:rsidRDefault="0037559A" w:rsidP="0037559A">
            <w:pPr>
              <w:jc w:val="right"/>
              <w:rPr>
                <w:sz w:val="14"/>
                <w:szCs w:val="14"/>
              </w:rPr>
            </w:pPr>
            <w:r>
              <w:rPr>
                <w:sz w:val="14"/>
                <w:szCs w:val="14"/>
              </w:rPr>
              <w:t>3,473,395</w:t>
            </w:r>
          </w:p>
        </w:tc>
        <w:tc>
          <w:tcPr>
            <w:tcW w:w="767"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3,433,787</w:t>
            </w:r>
          </w:p>
        </w:tc>
        <w:tc>
          <w:tcPr>
            <w:tcW w:w="851"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3,556,769</w:t>
            </w:r>
          </w:p>
        </w:tc>
        <w:tc>
          <w:tcPr>
            <w:tcW w:w="750" w:type="dxa"/>
            <w:tcBorders>
              <w:top w:val="nil"/>
              <w:left w:val="nil"/>
              <w:bottom w:val="nil"/>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3,791,605</w:t>
            </w:r>
          </w:p>
        </w:tc>
      </w:tr>
      <w:tr w:rsidR="0037559A" w:rsidRPr="00B34F49" w:rsidTr="005B419B">
        <w:trPr>
          <w:trHeight w:hRule="exact" w:val="405"/>
          <w:jc w:val="center"/>
        </w:trPr>
        <w:tc>
          <w:tcPr>
            <w:tcW w:w="3420" w:type="dxa"/>
            <w:tcBorders>
              <w:top w:val="nil"/>
              <w:left w:val="nil"/>
              <w:bottom w:val="single" w:sz="12" w:space="0" w:color="auto"/>
              <w:right w:val="nil"/>
            </w:tcBorders>
            <w:shd w:val="clear" w:color="auto" w:fill="auto"/>
            <w:vAlign w:val="center"/>
            <w:hideMark/>
          </w:tcPr>
          <w:p w:rsidR="0037559A" w:rsidRPr="00B34F49" w:rsidRDefault="0037559A" w:rsidP="0037559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4,217,661</w:t>
            </w:r>
          </w:p>
        </w:tc>
        <w:tc>
          <w:tcPr>
            <w:tcW w:w="774"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5,341,017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37559A" w:rsidRDefault="0037559A" w:rsidP="0037559A">
            <w:pPr>
              <w:jc w:val="right"/>
              <w:rPr>
                <w:sz w:val="14"/>
                <w:szCs w:val="14"/>
              </w:rPr>
            </w:pPr>
            <w:r>
              <w:rPr>
                <w:sz w:val="14"/>
                <w:szCs w:val="14"/>
              </w:rPr>
              <w:t>4,936,190</w:t>
            </w:r>
          </w:p>
        </w:tc>
        <w:tc>
          <w:tcPr>
            <w:tcW w:w="716"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5,341,017</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37559A" w:rsidRDefault="0037559A" w:rsidP="0037559A">
            <w:pPr>
              <w:jc w:val="right"/>
              <w:rPr>
                <w:sz w:val="14"/>
                <w:szCs w:val="14"/>
              </w:rPr>
            </w:pPr>
            <w:r>
              <w:rPr>
                <w:sz w:val="14"/>
                <w:szCs w:val="14"/>
              </w:rPr>
              <w:t>7,509,821</w:t>
            </w:r>
          </w:p>
        </w:tc>
        <w:tc>
          <w:tcPr>
            <w:tcW w:w="767"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7,713,030</w:t>
            </w:r>
          </w:p>
        </w:tc>
        <w:tc>
          <w:tcPr>
            <w:tcW w:w="851"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7,926,804</w:t>
            </w:r>
          </w:p>
        </w:tc>
        <w:tc>
          <w:tcPr>
            <w:tcW w:w="750" w:type="dxa"/>
            <w:tcBorders>
              <w:top w:val="nil"/>
              <w:left w:val="nil"/>
              <w:bottom w:val="single" w:sz="12" w:space="0" w:color="auto"/>
              <w:right w:val="nil"/>
            </w:tcBorders>
            <w:shd w:val="clear" w:color="auto" w:fill="auto"/>
            <w:tcMar>
              <w:left w:w="43" w:type="dxa"/>
              <w:right w:w="43" w:type="dxa"/>
            </w:tcMar>
            <w:vAlign w:val="center"/>
          </w:tcPr>
          <w:p w:rsidR="0037559A" w:rsidRDefault="0037559A" w:rsidP="0037559A">
            <w:pPr>
              <w:jc w:val="right"/>
              <w:rPr>
                <w:sz w:val="14"/>
                <w:szCs w:val="14"/>
              </w:rPr>
            </w:pPr>
            <w:r>
              <w:rPr>
                <w:sz w:val="14"/>
                <w:szCs w:val="14"/>
              </w:rPr>
              <w:t>8,648,147</w:t>
            </w:r>
          </w:p>
        </w:tc>
      </w:tr>
      <w:tr w:rsidR="0037559A" w:rsidRPr="00B34F49" w:rsidTr="00E41B73">
        <w:trPr>
          <w:trHeight w:val="177"/>
          <w:jc w:val="center"/>
        </w:trPr>
        <w:tc>
          <w:tcPr>
            <w:tcW w:w="3420" w:type="dxa"/>
            <w:tcBorders>
              <w:top w:val="nil"/>
              <w:left w:val="nil"/>
              <w:bottom w:val="nil"/>
              <w:right w:val="nil"/>
            </w:tcBorders>
            <w:shd w:val="clear" w:color="auto" w:fill="auto"/>
            <w:noWrap/>
            <w:vAlign w:val="bottom"/>
            <w:hideMark/>
          </w:tcPr>
          <w:p w:rsidR="0037559A" w:rsidRPr="00B34F49" w:rsidRDefault="0037559A" w:rsidP="0037559A">
            <w:pPr>
              <w:jc w:val="left"/>
              <w:rPr>
                <w:sz w:val="14"/>
                <w:szCs w:val="14"/>
              </w:rPr>
            </w:pPr>
          </w:p>
        </w:tc>
        <w:tc>
          <w:tcPr>
            <w:tcW w:w="7127" w:type="dxa"/>
            <w:gridSpan w:val="9"/>
            <w:tcBorders>
              <w:top w:val="single" w:sz="12" w:space="0" w:color="auto"/>
              <w:left w:val="nil"/>
              <w:bottom w:val="nil"/>
              <w:right w:val="nil"/>
            </w:tcBorders>
            <w:shd w:val="clear" w:color="auto" w:fill="auto"/>
            <w:noWrap/>
            <w:vAlign w:val="bottom"/>
            <w:hideMark/>
          </w:tcPr>
          <w:p w:rsidR="0037559A" w:rsidRPr="00B34F49" w:rsidRDefault="0037559A" w:rsidP="0037559A">
            <w:pPr>
              <w:jc w:val="right"/>
              <w:rPr>
                <w:color w:val="auto"/>
                <w:sz w:val="14"/>
                <w:szCs w:val="14"/>
              </w:rPr>
            </w:pPr>
            <w:r w:rsidRPr="00B34F49">
              <w:rPr>
                <w:color w:val="auto"/>
                <w:sz w:val="14"/>
                <w:szCs w:val="16"/>
              </w:rPr>
              <w:t xml:space="preserve">Source: Off-Site Supervision &amp; Enforcement  Department SBP </w:t>
            </w:r>
          </w:p>
        </w:tc>
      </w:tr>
      <w:tr w:rsidR="0037559A" w:rsidRPr="00B34F49" w:rsidTr="00E41B73">
        <w:trPr>
          <w:trHeight w:val="180"/>
          <w:jc w:val="center"/>
        </w:trPr>
        <w:tc>
          <w:tcPr>
            <w:tcW w:w="10547" w:type="dxa"/>
            <w:gridSpan w:val="10"/>
            <w:tcBorders>
              <w:top w:val="nil"/>
              <w:left w:val="nil"/>
              <w:bottom w:val="nil"/>
              <w:right w:val="nil"/>
            </w:tcBorders>
            <w:shd w:val="clear" w:color="auto" w:fill="auto"/>
            <w:noWrap/>
            <w:vAlign w:val="center"/>
            <w:hideMark/>
          </w:tcPr>
          <w:p w:rsidR="0037559A" w:rsidRPr="009836DB" w:rsidRDefault="0037559A" w:rsidP="0037559A">
            <w:pPr>
              <w:jc w:val="left"/>
              <w:rPr>
                <w:color w:val="auto"/>
                <w:sz w:val="13"/>
                <w:szCs w:val="13"/>
              </w:rPr>
            </w:pPr>
            <w:r w:rsidRPr="009836DB">
              <w:rPr>
                <w:color w:val="auto"/>
                <w:sz w:val="13"/>
                <w:szCs w:val="13"/>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1723FB">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295FF8" w:rsidP="00295FF8">
            <w:pPr>
              <w:rPr>
                <w:b/>
                <w:color w:val="auto"/>
                <w:szCs w:val="16"/>
              </w:rPr>
            </w:pPr>
            <w:r>
              <w:rPr>
                <w:b/>
                <w:color w:val="auto"/>
                <w:szCs w:val="16"/>
              </w:rPr>
              <w:t>Dec-20</w:t>
            </w:r>
          </w:p>
        </w:tc>
        <w:tc>
          <w:tcPr>
            <w:tcW w:w="1653" w:type="pct"/>
            <w:gridSpan w:val="4"/>
            <w:tcBorders>
              <w:left w:val="single" w:sz="4" w:space="0" w:color="auto"/>
              <w:bottom w:val="single" w:sz="4" w:space="0" w:color="auto"/>
            </w:tcBorders>
            <w:shd w:val="clear" w:color="auto" w:fill="auto"/>
            <w:vAlign w:val="center"/>
          </w:tcPr>
          <w:p w:rsidR="00295FF8" w:rsidRPr="00D5469A" w:rsidRDefault="00295FF8" w:rsidP="00295FF8">
            <w:pPr>
              <w:rPr>
                <w:b/>
                <w:color w:val="auto"/>
                <w:szCs w:val="16"/>
              </w:rPr>
            </w:pPr>
            <w:r>
              <w:rPr>
                <w:b/>
                <w:color w:val="auto"/>
                <w:szCs w:val="16"/>
              </w:rPr>
              <w:t>Mar-21</w:t>
            </w:r>
          </w:p>
        </w:tc>
      </w:tr>
      <w:tr w:rsidR="00295FF8" w:rsidRPr="00D5469A"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MFIs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MFIs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12,381</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5,578</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94,953</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112,912</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15,000</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541,000</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65,891</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621,891</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7</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2,859</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6,213</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9,079</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2,702</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5,663</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8,372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6,475</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(40,140)</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67,428</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33,763</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6,542</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442,410</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47,409</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496,362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10,872</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9,244</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20,115</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10,808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4,160</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14,968</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5,899</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31,987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12,068</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49,955</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8,450</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85,079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8,659</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102,189</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252,680</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565,685</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89,161</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907,527</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282,197</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158,709</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102,609</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543,515</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64,179</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461,057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79,706</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604,942</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81,278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71,681</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92,887</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245,846</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188,501</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104,628</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9,456</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302,585</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200,919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87,027</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9,723</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297,669</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130,541</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94,646</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260,136</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485,322</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131,356</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74,024</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279,783</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485,163</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27,614</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32,069</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203,050</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262,732</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23,222</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34,358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215,872</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273,451</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102,927</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62,577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57,086</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222,590</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108,134</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39,667</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63,911</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211,712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41,749</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282,709</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324,458</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41,791</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293,733</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335,525</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35,500</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266,112</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301,612</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35,339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278,044</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313,383</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6,249</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16,598</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22,846</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6,452</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15,690</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22,142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21</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250</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272</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291</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291</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9</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42</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21</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242</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263</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249</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249</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530</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530</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1,052</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1,052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24,814</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39,543</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33,347</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97,704</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23,151</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42,754</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31,947</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97,851</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6,484</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36,382</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38,651</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81,517</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6,299</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33,652</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38,802</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78,752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1B2736" w:rsidRDefault="00295FF8" w:rsidP="00295FF8">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6,118</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27,182</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38,475</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71,775</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5,874</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27,374</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38,566</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71,814</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5,918</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25,215</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32,320</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63,453</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5,764</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25,124</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32,267</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63,155</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468</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468</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817</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817</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527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527</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483</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483</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200</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972</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6,155</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7,327</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(114)</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951</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6,299</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7,136</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1B2736" w:rsidRDefault="00295FF8" w:rsidP="00295FF8">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366</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9,200</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176</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9,742</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425</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6,278</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236</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6,938</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2,442</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2,558</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2,185</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2,300</w:t>
            </w:r>
          </w:p>
        </w:tc>
      </w:tr>
      <w:tr w:rsidR="00295FF8" w:rsidRPr="00D5469A" w:rsidTr="00295FF8">
        <w:trPr>
          <w:trHeight w:hRule="exact" w:val="230"/>
        </w:trPr>
        <w:tc>
          <w:tcPr>
            <w:tcW w:w="1843" w:type="pct"/>
            <w:tcBorders>
              <w:top w:val="nil"/>
              <w:left w:val="nil"/>
              <w:right w:val="nil"/>
            </w:tcBorders>
            <w:shd w:val="clear" w:color="auto" w:fill="auto"/>
            <w:noWrap/>
            <w:vAlign w:val="center"/>
          </w:tcPr>
          <w:p w:rsidR="00295FF8" w:rsidRPr="00D5469A" w:rsidRDefault="00295FF8" w:rsidP="00295FF8">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295FF8" w:rsidRDefault="00295FF8" w:rsidP="00295FF8">
            <w:pPr>
              <w:jc w:val="right"/>
              <w:rPr>
                <w:sz w:val="14"/>
                <w:szCs w:val="14"/>
              </w:rPr>
            </w:pPr>
            <w:r>
              <w:rPr>
                <w:sz w:val="14"/>
                <w:szCs w:val="14"/>
              </w:rPr>
              <w:t>240</w:t>
            </w:r>
          </w:p>
        </w:tc>
        <w:tc>
          <w:tcPr>
            <w:tcW w:w="394" w:type="pct"/>
            <w:tcBorders>
              <w:top w:val="nil"/>
              <w:left w:val="nil"/>
              <w:right w:val="nil"/>
            </w:tcBorders>
            <w:shd w:val="clear" w:color="auto" w:fill="auto"/>
            <w:noWrap/>
            <w:vAlign w:val="center"/>
          </w:tcPr>
          <w:p w:rsidR="00295FF8" w:rsidRDefault="00295FF8" w:rsidP="00295FF8">
            <w:pPr>
              <w:jc w:val="right"/>
              <w:rPr>
                <w:sz w:val="14"/>
                <w:szCs w:val="14"/>
              </w:rPr>
            </w:pPr>
            <w:r>
              <w:rPr>
                <w:sz w:val="14"/>
                <w:szCs w:val="14"/>
              </w:rPr>
              <w:t>6,757</w:t>
            </w:r>
          </w:p>
        </w:tc>
        <w:tc>
          <w:tcPr>
            <w:tcW w:w="356" w:type="pct"/>
            <w:tcBorders>
              <w:top w:val="nil"/>
              <w:left w:val="nil"/>
              <w:right w:val="nil"/>
            </w:tcBorders>
            <w:shd w:val="clear" w:color="auto" w:fill="auto"/>
            <w:vAlign w:val="center"/>
          </w:tcPr>
          <w:p w:rsidR="00295FF8" w:rsidRDefault="00295FF8" w:rsidP="00295FF8">
            <w:pPr>
              <w:jc w:val="right"/>
              <w:rPr>
                <w:sz w:val="14"/>
                <w:szCs w:val="14"/>
              </w:rPr>
            </w:pPr>
            <w:r>
              <w:rPr>
                <w:sz w:val="14"/>
                <w:szCs w:val="14"/>
              </w:rPr>
              <w:t>187</w:t>
            </w:r>
          </w:p>
        </w:tc>
        <w:tc>
          <w:tcPr>
            <w:tcW w:w="412" w:type="pct"/>
            <w:tcBorders>
              <w:top w:val="nil"/>
              <w:left w:val="nil"/>
              <w:right w:val="nil"/>
            </w:tcBorders>
            <w:shd w:val="clear" w:color="auto" w:fill="auto"/>
            <w:noWrap/>
            <w:vAlign w:val="center"/>
          </w:tcPr>
          <w:p w:rsidR="00295FF8" w:rsidRDefault="00295FF8" w:rsidP="00295FF8">
            <w:pPr>
              <w:jc w:val="right"/>
              <w:rPr>
                <w:sz w:val="14"/>
                <w:szCs w:val="14"/>
              </w:rPr>
            </w:pPr>
            <w:r>
              <w:rPr>
                <w:sz w:val="14"/>
                <w:szCs w:val="14"/>
              </w:rPr>
              <w:t>7,184</w:t>
            </w:r>
          </w:p>
        </w:tc>
        <w:tc>
          <w:tcPr>
            <w:tcW w:w="424" w:type="pct"/>
            <w:tcBorders>
              <w:top w:val="nil"/>
              <w:left w:val="nil"/>
              <w:right w:val="nil"/>
            </w:tcBorders>
            <w:shd w:val="clear" w:color="auto" w:fill="auto"/>
            <w:vAlign w:val="center"/>
          </w:tcPr>
          <w:p w:rsidR="00295FF8" w:rsidRDefault="00295FF8" w:rsidP="00295FF8">
            <w:pPr>
              <w:jc w:val="right"/>
              <w:rPr>
                <w:sz w:val="14"/>
                <w:szCs w:val="14"/>
              </w:rPr>
            </w:pPr>
            <w:r>
              <w:rPr>
                <w:sz w:val="14"/>
                <w:szCs w:val="14"/>
              </w:rPr>
              <w:t>299</w:t>
            </w:r>
          </w:p>
        </w:tc>
        <w:tc>
          <w:tcPr>
            <w:tcW w:w="410" w:type="pct"/>
            <w:tcBorders>
              <w:top w:val="nil"/>
              <w:left w:val="nil"/>
              <w:right w:val="nil"/>
            </w:tcBorders>
            <w:shd w:val="clear" w:color="auto" w:fill="auto"/>
            <w:vAlign w:val="center"/>
          </w:tcPr>
          <w:p w:rsidR="00295FF8" w:rsidRDefault="00295FF8" w:rsidP="00295FF8">
            <w:pPr>
              <w:jc w:val="right"/>
              <w:rPr>
                <w:sz w:val="14"/>
                <w:szCs w:val="14"/>
              </w:rPr>
            </w:pPr>
            <w:r>
              <w:rPr>
                <w:sz w:val="14"/>
                <w:szCs w:val="14"/>
              </w:rPr>
              <w:t>4,093</w:t>
            </w:r>
          </w:p>
        </w:tc>
        <w:tc>
          <w:tcPr>
            <w:tcW w:w="410" w:type="pct"/>
            <w:tcBorders>
              <w:top w:val="nil"/>
              <w:left w:val="nil"/>
              <w:right w:val="nil"/>
            </w:tcBorders>
            <w:shd w:val="clear" w:color="auto" w:fill="auto"/>
            <w:vAlign w:val="center"/>
          </w:tcPr>
          <w:p w:rsidR="00295FF8" w:rsidRDefault="00295FF8" w:rsidP="00295FF8">
            <w:pPr>
              <w:jc w:val="right"/>
              <w:rPr>
                <w:sz w:val="14"/>
                <w:szCs w:val="14"/>
              </w:rPr>
            </w:pPr>
            <w:r>
              <w:rPr>
                <w:sz w:val="14"/>
                <w:szCs w:val="14"/>
              </w:rPr>
              <w:t>246</w:t>
            </w:r>
          </w:p>
        </w:tc>
        <w:tc>
          <w:tcPr>
            <w:tcW w:w="409" w:type="pct"/>
            <w:tcBorders>
              <w:top w:val="nil"/>
              <w:left w:val="nil"/>
              <w:right w:val="nil"/>
            </w:tcBorders>
            <w:shd w:val="clear" w:color="auto" w:fill="auto"/>
            <w:vAlign w:val="center"/>
          </w:tcPr>
          <w:p w:rsidR="00295FF8" w:rsidRDefault="00295FF8" w:rsidP="00295FF8">
            <w:pPr>
              <w:jc w:val="right"/>
              <w:rPr>
                <w:sz w:val="14"/>
                <w:szCs w:val="14"/>
              </w:rPr>
            </w:pPr>
            <w:r>
              <w:rPr>
                <w:sz w:val="14"/>
                <w:szCs w:val="14"/>
              </w:rPr>
              <w:t>4,638</w:t>
            </w:r>
          </w:p>
        </w:tc>
      </w:tr>
      <w:tr w:rsidR="00295FF8" w:rsidRPr="00D5469A" w:rsidTr="00295FF8">
        <w:trPr>
          <w:trHeight w:hRule="exact" w:val="230"/>
        </w:trPr>
        <w:tc>
          <w:tcPr>
            <w:tcW w:w="1843" w:type="pct"/>
            <w:tcBorders>
              <w:left w:val="nil"/>
              <w:right w:val="nil"/>
            </w:tcBorders>
            <w:shd w:val="clear" w:color="auto" w:fill="auto"/>
            <w:noWrap/>
            <w:vAlign w:val="center"/>
          </w:tcPr>
          <w:p w:rsidR="00295FF8" w:rsidRPr="00D5469A" w:rsidRDefault="00295FF8" w:rsidP="00295FF8">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rsidR="00295FF8" w:rsidRDefault="00295FF8" w:rsidP="00295FF8">
            <w:pPr>
              <w:jc w:val="right"/>
              <w:rPr>
                <w:b/>
                <w:bCs/>
                <w:sz w:val="14"/>
                <w:szCs w:val="14"/>
              </w:rPr>
            </w:pPr>
            <w:r>
              <w:rPr>
                <w:b/>
                <w:bCs/>
                <w:sz w:val="14"/>
                <w:szCs w:val="14"/>
              </w:rPr>
              <w:t>468,671</w:t>
            </w:r>
          </w:p>
        </w:tc>
        <w:tc>
          <w:tcPr>
            <w:tcW w:w="394" w:type="pct"/>
            <w:tcBorders>
              <w:left w:val="nil"/>
              <w:right w:val="nil"/>
            </w:tcBorders>
            <w:shd w:val="clear" w:color="auto" w:fill="auto"/>
            <w:noWrap/>
            <w:vAlign w:val="center"/>
          </w:tcPr>
          <w:p w:rsidR="00295FF8" w:rsidRDefault="00295FF8" w:rsidP="00295FF8">
            <w:pPr>
              <w:jc w:val="right"/>
              <w:rPr>
                <w:b/>
                <w:bCs/>
                <w:sz w:val="14"/>
                <w:szCs w:val="14"/>
              </w:rPr>
            </w:pPr>
            <w:r>
              <w:rPr>
                <w:b/>
                <w:bCs/>
                <w:sz w:val="14"/>
                <w:szCs w:val="14"/>
              </w:rPr>
              <w:t>1,025,073</w:t>
            </w:r>
          </w:p>
        </w:tc>
        <w:tc>
          <w:tcPr>
            <w:tcW w:w="356" w:type="pct"/>
            <w:tcBorders>
              <w:left w:val="nil"/>
              <w:right w:val="nil"/>
            </w:tcBorders>
            <w:shd w:val="clear" w:color="auto" w:fill="auto"/>
            <w:vAlign w:val="center"/>
          </w:tcPr>
          <w:p w:rsidR="00295FF8" w:rsidRDefault="00295FF8" w:rsidP="00295FF8">
            <w:pPr>
              <w:jc w:val="right"/>
              <w:rPr>
                <w:b/>
                <w:bCs/>
                <w:sz w:val="14"/>
                <w:szCs w:val="14"/>
              </w:rPr>
            </w:pPr>
            <w:r>
              <w:rPr>
                <w:b/>
                <w:bCs/>
                <w:sz w:val="14"/>
                <w:szCs w:val="14"/>
              </w:rPr>
              <w:t>516,498</w:t>
            </w:r>
          </w:p>
        </w:tc>
        <w:tc>
          <w:tcPr>
            <w:tcW w:w="412" w:type="pct"/>
            <w:tcBorders>
              <w:left w:val="nil"/>
              <w:right w:val="nil"/>
            </w:tcBorders>
            <w:shd w:val="clear" w:color="auto" w:fill="auto"/>
            <w:noWrap/>
            <w:vAlign w:val="center"/>
          </w:tcPr>
          <w:p w:rsidR="00295FF8" w:rsidRDefault="00295FF8" w:rsidP="00295FF8">
            <w:pPr>
              <w:jc w:val="right"/>
              <w:rPr>
                <w:b/>
                <w:bCs/>
                <w:sz w:val="14"/>
                <w:szCs w:val="14"/>
              </w:rPr>
            </w:pPr>
            <w:r>
              <w:rPr>
                <w:b/>
                <w:bCs/>
                <w:sz w:val="14"/>
                <w:szCs w:val="14"/>
              </w:rPr>
              <w:t>2,010,242</w:t>
            </w:r>
          </w:p>
        </w:tc>
        <w:tc>
          <w:tcPr>
            <w:tcW w:w="424" w:type="pct"/>
            <w:tcBorders>
              <w:left w:val="nil"/>
              <w:right w:val="nil"/>
            </w:tcBorders>
            <w:shd w:val="clear" w:color="auto" w:fill="auto"/>
            <w:vAlign w:val="center"/>
          </w:tcPr>
          <w:p w:rsidR="00295FF8" w:rsidRDefault="00295FF8" w:rsidP="00295FF8">
            <w:pPr>
              <w:jc w:val="right"/>
              <w:rPr>
                <w:b/>
                <w:bCs/>
                <w:sz w:val="14"/>
                <w:szCs w:val="14"/>
              </w:rPr>
            </w:pPr>
            <w:r>
              <w:rPr>
                <w:b/>
                <w:bCs/>
                <w:sz w:val="14"/>
                <w:szCs w:val="14"/>
              </w:rPr>
              <w:t>499,794</w:t>
            </w:r>
          </w:p>
        </w:tc>
        <w:tc>
          <w:tcPr>
            <w:tcW w:w="410" w:type="pct"/>
            <w:tcBorders>
              <w:left w:val="nil"/>
              <w:right w:val="nil"/>
            </w:tcBorders>
            <w:shd w:val="clear" w:color="auto" w:fill="auto"/>
            <w:vAlign w:val="center"/>
          </w:tcPr>
          <w:p w:rsidR="00295FF8" w:rsidRDefault="00295FF8" w:rsidP="00295FF8">
            <w:pPr>
              <w:jc w:val="right"/>
              <w:rPr>
                <w:b/>
                <w:bCs/>
                <w:sz w:val="14"/>
                <w:szCs w:val="14"/>
              </w:rPr>
            </w:pPr>
            <w:r>
              <w:rPr>
                <w:b/>
                <w:bCs/>
                <w:sz w:val="14"/>
                <w:szCs w:val="14"/>
              </w:rPr>
              <w:t>1,144,925</w:t>
            </w:r>
          </w:p>
        </w:tc>
        <w:tc>
          <w:tcPr>
            <w:tcW w:w="410" w:type="pct"/>
            <w:tcBorders>
              <w:left w:val="nil"/>
              <w:right w:val="nil"/>
            </w:tcBorders>
            <w:shd w:val="clear" w:color="auto" w:fill="auto"/>
            <w:vAlign w:val="center"/>
          </w:tcPr>
          <w:p w:rsidR="00295FF8" w:rsidRDefault="00295FF8" w:rsidP="00295FF8">
            <w:pPr>
              <w:jc w:val="right"/>
              <w:rPr>
                <w:b/>
                <w:bCs/>
                <w:sz w:val="14"/>
                <w:szCs w:val="14"/>
              </w:rPr>
            </w:pPr>
            <w:r>
              <w:rPr>
                <w:b/>
                <w:bCs/>
                <w:sz w:val="14"/>
                <w:szCs w:val="14"/>
              </w:rPr>
              <w:t>519,322</w:t>
            </w:r>
          </w:p>
        </w:tc>
        <w:tc>
          <w:tcPr>
            <w:tcW w:w="409" w:type="pct"/>
            <w:tcBorders>
              <w:left w:val="nil"/>
              <w:right w:val="nil"/>
            </w:tcBorders>
            <w:shd w:val="clear" w:color="auto" w:fill="auto"/>
            <w:vAlign w:val="center"/>
          </w:tcPr>
          <w:p w:rsidR="00295FF8" w:rsidRDefault="00295FF8" w:rsidP="00295FF8">
            <w:pPr>
              <w:jc w:val="right"/>
              <w:rPr>
                <w:b/>
                <w:bCs/>
                <w:sz w:val="14"/>
                <w:szCs w:val="14"/>
              </w:rPr>
            </w:pPr>
            <w:r>
              <w:rPr>
                <w:b/>
                <w:bCs/>
                <w:sz w:val="14"/>
                <w:szCs w:val="14"/>
              </w:rPr>
              <w:t>2,164,041</w:t>
            </w:r>
          </w:p>
        </w:tc>
      </w:tr>
      <w:tr w:rsidR="00295FF8" w:rsidRPr="00D5469A" w:rsidTr="00295FF8">
        <w:trPr>
          <w:trHeight w:hRule="exact" w:val="230"/>
        </w:trPr>
        <w:tc>
          <w:tcPr>
            <w:tcW w:w="1843" w:type="pct"/>
            <w:tcBorders>
              <w:left w:val="nil"/>
              <w:bottom w:val="nil"/>
              <w:right w:val="nil"/>
            </w:tcBorders>
            <w:shd w:val="clear" w:color="auto" w:fill="auto"/>
            <w:noWrap/>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26,951</w:t>
            </w:r>
          </w:p>
        </w:tc>
        <w:tc>
          <w:tcPr>
            <w:tcW w:w="394" w:type="pct"/>
            <w:tcBorders>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31,320</w:t>
            </w:r>
          </w:p>
        </w:tc>
        <w:tc>
          <w:tcPr>
            <w:tcW w:w="356" w:type="pct"/>
            <w:tcBorders>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375,866</w:t>
            </w:r>
          </w:p>
        </w:tc>
        <w:tc>
          <w:tcPr>
            <w:tcW w:w="412" w:type="pct"/>
            <w:tcBorders>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434,137</w:t>
            </w:r>
          </w:p>
        </w:tc>
        <w:tc>
          <w:tcPr>
            <w:tcW w:w="424" w:type="pct"/>
            <w:tcBorders>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22,501</w:t>
            </w:r>
          </w:p>
        </w:tc>
        <w:tc>
          <w:tcPr>
            <w:tcW w:w="410" w:type="pct"/>
            <w:tcBorders>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31,181</w:t>
            </w:r>
          </w:p>
        </w:tc>
        <w:tc>
          <w:tcPr>
            <w:tcW w:w="410" w:type="pct"/>
            <w:tcBorders>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374,818</w:t>
            </w:r>
          </w:p>
        </w:tc>
        <w:tc>
          <w:tcPr>
            <w:tcW w:w="409" w:type="pct"/>
            <w:tcBorders>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428,500</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174</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19,350</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19,531</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164</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19,699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87</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19,950</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26,777</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11,970</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375,859</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414,606</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22,336</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11,482</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374,732</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408,550</w:t>
            </w:r>
          </w:p>
        </w:tc>
      </w:tr>
      <w:tr w:rsidR="00295FF8" w:rsidRPr="00D5469A" w:rsidTr="00295FF8">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295FF8" w:rsidRPr="00D5469A" w:rsidRDefault="00295FF8" w:rsidP="00295FF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1,971</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5,200</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7,171</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1,994</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5,266</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7,260</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1,035</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1,035</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1,048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1,048</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937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5,200</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6,136</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947</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5,266</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6,212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269,544</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46,035</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30,613</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346,192</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307,129</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28,775</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24,323</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360,227</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195,660</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9,676</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5,366</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210,702</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233,249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11,237</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2,949</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247,435</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73,884</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36,359</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25,247</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135,490</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73,880</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17,538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21,374</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112,792</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40,421</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52,392</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54,645</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147,458</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39,650</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73,139</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58,439</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171,229</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131,579</w:t>
            </w:r>
          </w:p>
        </w:tc>
        <w:tc>
          <w:tcPr>
            <w:tcW w:w="394"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893,530</w:t>
            </w:r>
          </w:p>
        </w:tc>
        <w:tc>
          <w:tcPr>
            <w:tcW w:w="356"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50,176</w:t>
            </w:r>
          </w:p>
        </w:tc>
        <w:tc>
          <w:tcPr>
            <w:tcW w:w="412" w:type="pct"/>
            <w:tcBorders>
              <w:top w:val="nil"/>
              <w:left w:val="nil"/>
              <w:bottom w:val="nil"/>
              <w:right w:val="nil"/>
            </w:tcBorders>
            <w:shd w:val="clear" w:color="auto" w:fill="auto"/>
            <w:noWrap/>
            <w:vAlign w:val="center"/>
          </w:tcPr>
          <w:p w:rsidR="00295FF8" w:rsidRDefault="00295FF8" w:rsidP="00295FF8">
            <w:pPr>
              <w:jc w:val="right"/>
              <w:rPr>
                <w:b/>
                <w:bCs/>
                <w:sz w:val="14"/>
                <w:szCs w:val="14"/>
              </w:rPr>
            </w:pPr>
            <w:r>
              <w:rPr>
                <w:b/>
                <w:bCs/>
                <w:sz w:val="14"/>
                <w:szCs w:val="14"/>
              </w:rPr>
              <w:t>1,075,285</w:t>
            </w:r>
          </w:p>
        </w:tc>
        <w:tc>
          <w:tcPr>
            <w:tcW w:w="424"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130,514</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1,009,836</w:t>
            </w:r>
          </w:p>
        </w:tc>
        <w:tc>
          <w:tcPr>
            <w:tcW w:w="410"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56,476</w:t>
            </w:r>
          </w:p>
        </w:tc>
        <w:tc>
          <w:tcPr>
            <w:tcW w:w="409" w:type="pct"/>
            <w:tcBorders>
              <w:top w:val="nil"/>
              <w:left w:val="nil"/>
              <w:bottom w:val="nil"/>
              <w:right w:val="nil"/>
            </w:tcBorders>
            <w:shd w:val="clear" w:color="auto" w:fill="auto"/>
            <w:vAlign w:val="center"/>
          </w:tcPr>
          <w:p w:rsidR="00295FF8" w:rsidRDefault="00295FF8" w:rsidP="00295FF8">
            <w:pPr>
              <w:jc w:val="right"/>
              <w:rPr>
                <w:b/>
                <w:bCs/>
                <w:sz w:val="14"/>
                <w:szCs w:val="14"/>
              </w:rPr>
            </w:pPr>
            <w:r>
              <w:rPr>
                <w:b/>
                <w:bCs/>
                <w:sz w:val="14"/>
                <w:szCs w:val="14"/>
              </w:rPr>
              <w:t>1,196,826</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490,657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494,097</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4,159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552,835</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3,440</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560,433</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75,352</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327,595</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23,551</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426,499</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71,963</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340,290</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38,704</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450,957</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24,337</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31,177</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(4,499)</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51,015</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31,123</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49,128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(15,957)</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64,294</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11,735</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34,748</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(2,891)</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43,591</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2,002</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57,259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3,325</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62,586</w:t>
            </w:r>
          </w:p>
        </w:tc>
      </w:tr>
      <w:tr w:rsidR="00295FF8" w:rsidRPr="00D5469A" w:rsidTr="00295FF8">
        <w:trPr>
          <w:trHeight w:hRule="exact" w:val="230"/>
        </w:trPr>
        <w:tc>
          <w:tcPr>
            <w:tcW w:w="1843" w:type="pct"/>
            <w:tcBorders>
              <w:top w:val="nil"/>
              <w:left w:val="nil"/>
              <w:bottom w:val="nil"/>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17,885</w:t>
            </w:r>
          </w:p>
        </w:tc>
        <w:tc>
          <w:tcPr>
            <w:tcW w:w="394"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8,712</w:t>
            </w:r>
          </w:p>
        </w:tc>
        <w:tc>
          <w:tcPr>
            <w:tcW w:w="356"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30,402</w:t>
            </w:r>
          </w:p>
        </w:tc>
        <w:tc>
          <w:tcPr>
            <w:tcW w:w="412" w:type="pct"/>
            <w:tcBorders>
              <w:top w:val="nil"/>
              <w:left w:val="nil"/>
              <w:bottom w:val="nil"/>
              <w:right w:val="nil"/>
            </w:tcBorders>
            <w:shd w:val="clear" w:color="auto" w:fill="auto"/>
            <w:noWrap/>
            <w:vAlign w:val="center"/>
          </w:tcPr>
          <w:p w:rsidR="00295FF8" w:rsidRDefault="00295FF8" w:rsidP="00295FF8">
            <w:pPr>
              <w:jc w:val="right"/>
              <w:rPr>
                <w:sz w:val="14"/>
                <w:szCs w:val="14"/>
              </w:rPr>
            </w:pPr>
            <w:r>
              <w:rPr>
                <w:sz w:val="14"/>
                <w:szCs w:val="14"/>
              </w:rPr>
              <w:t>56,999</w:t>
            </w:r>
          </w:p>
        </w:tc>
        <w:tc>
          <w:tcPr>
            <w:tcW w:w="424"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19,828</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8,709</w:t>
            </w:r>
          </w:p>
        </w:tc>
        <w:tc>
          <w:tcPr>
            <w:tcW w:w="410"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26,984</w:t>
            </w:r>
          </w:p>
        </w:tc>
        <w:tc>
          <w:tcPr>
            <w:tcW w:w="409" w:type="pct"/>
            <w:tcBorders>
              <w:top w:val="nil"/>
              <w:left w:val="nil"/>
              <w:bottom w:val="nil"/>
              <w:right w:val="nil"/>
            </w:tcBorders>
            <w:shd w:val="clear" w:color="auto" w:fill="auto"/>
            <w:vAlign w:val="center"/>
          </w:tcPr>
          <w:p w:rsidR="00295FF8" w:rsidRDefault="00295FF8" w:rsidP="00295FF8">
            <w:pPr>
              <w:jc w:val="right"/>
              <w:rPr>
                <w:sz w:val="14"/>
                <w:szCs w:val="14"/>
              </w:rPr>
            </w:pPr>
            <w:r>
              <w:rPr>
                <w:sz w:val="14"/>
                <w:szCs w:val="14"/>
              </w:rPr>
              <w:t>55,522</w:t>
            </w:r>
          </w:p>
        </w:tc>
      </w:tr>
      <w:tr w:rsidR="00295FF8" w:rsidRPr="00D5469A" w:rsidTr="00295FF8">
        <w:trPr>
          <w:trHeight w:hRule="exact" w:val="230"/>
        </w:trPr>
        <w:tc>
          <w:tcPr>
            <w:tcW w:w="1843" w:type="pct"/>
            <w:tcBorders>
              <w:top w:val="nil"/>
              <w:left w:val="nil"/>
              <w:bottom w:val="single" w:sz="12" w:space="0" w:color="auto"/>
              <w:right w:val="nil"/>
            </w:tcBorders>
            <w:shd w:val="clear" w:color="auto" w:fill="auto"/>
            <w:noWrap/>
            <w:vAlign w:val="center"/>
          </w:tcPr>
          <w:p w:rsidR="00295FF8" w:rsidRPr="00D5469A" w:rsidRDefault="00295FF8" w:rsidP="00295FF8">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rsidR="00295FF8" w:rsidRDefault="00295FF8" w:rsidP="00295FF8">
            <w:pPr>
              <w:jc w:val="right"/>
              <w:rPr>
                <w:sz w:val="14"/>
                <w:szCs w:val="14"/>
              </w:rPr>
            </w:pPr>
            <w:r>
              <w:rPr>
                <w:sz w:val="14"/>
                <w:szCs w:val="14"/>
              </w:rPr>
              <w:t>2,271</w:t>
            </w:r>
          </w:p>
        </w:tc>
        <w:tc>
          <w:tcPr>
            <w:tcW w:w="394" w:type="pct"/>
            <w:tcBorders>
              <w:top w:val="nil"/>
              <w:left w:val="nil"/>
              <w:bottom w:val="single" w:sz="12" w:space="0" w:color="auto"/>
              <w:right w:val="nil"/>
            </w:tcBorders>
            <w:shd w:val="clear" w:color="auto" w:fill="auto"/>
            <w:noWrap/>
            <w:vAlign w:val="center"/>
          </w:tcPr>
          <w:p w:rsidR="00295FF8" w:rsidRDefault="00295FF8" w:rsidP="00295FF8">
            <w:pPr>
              <w:jc w:val="right"/>
              <w:rPr>
                <w:sz w:val="14"/>
                <w:szCs w:val="14"/>
              </w:rPr>
            </w:pPr>
            <w:r>
              <w:rPr>
                <w:sz w:val="14"/>
                <w:szCs w:val="14"/>
              </w:rPr>
              <w:t>641</w:t>
            </w:r>
          </w:p>
        </w:tc>
        <w:tc>
          <w:tcPr>
            <w:tcW w:w="356" w:type="pct"/>
            <w:tcBorders>
              <w:top w:val="nil"/>
              <w:left w:val="nil"/>
              <w:bottom w:val="single" w:sz="12" w:space="0" w:color="auto"/>
              <w:right w:val="nil"/>
            </w:tcBorders>
            <w:shd w:val="clear" w:color="auto" w:fill="auto"/>
            <w:vAlign w:val="center"/>
          </w:tcPr>
          <w:p w:rsidR="00295FF8" w:rsidRDefault="00295FF8" w:rsidP="00295FF8">
            <w:pPr>
              <w:jc w:val="right"/>
              <w:rPr>
                <w:sz w:val="14"/>
                <w:szCs w:val="14"/>
              </w:rPr>
            </w:pPr>
            <w:r>
              <w:rPr>
                <w:sz w:val="14"/>
                <w:szCs w:val="14"/>
              </w:rPr>
              <w:t>172</w:t>
            </w:r>
          </w:p>
        </w:tc>
        <w:tc>
          <w:tcPr>
            <w:tcW w:w="412" w:type="pct"/>
            <w:tcBorders>
              <w:top w:val="nil"/>
              <w:left w:val="nil"/>
              <w:bottom w:val="single" w:sz="12" w:space="0" w:color="auto"/>
              <w:right w:val="nil"/>
            </w:tcBorders>
            <w:shd w:val="clear" w:color="auto" w:fill="auto"/>
            <w:noWrap/>
            <w:vAlign w:val="center"/>
          </w:tcPr>
          <w:p w:rsidR="00295FF8" w:rsidRDefault="00295FF8" w:rsidP="00295FF8">
            <w:pPr>
              <w:jc w:val="right"/>
              <w:rPr>
                <w:sz w:val="14"/>
                <w:szCs w:val="14"/>
              </w:rPr>
            </w:pPr>
            <w:r>
              <w:rPr>
                <w:sz w:val="14"/>
                <w:szCs w:val="14"/>
              </w:rPr>
              <w:t>3,084</w:t>
            </w:r>
          </w:p>
        </w:tc>
        <w:tc>
          <w:tcPr>
            <w:tcW w:w="424" w:type="pct"/>
            <w:tcBorders>
              <w:top w:val="nil"/>
              <w:left w:val="nil"/>
              <w:bottom w:val="single" w:sz="12" w:space="0" w:color="auto"/>
              <w:right w:val="nil"/>
            </w:tcBorders>
            <w:shd w:val="clear" w:color="auto" w:fill="auto"/>
            <w:vAlign w:val="center"/>
          </w:tcPr>
          <w:p w:rsidR="00295FF8" w:rsidRDefault="00295FF8" w:rsidP="00295FF8">
            <w:pPr>
              <w:jc w:val="right"/>
              <w:rPr>
                <w:sz w:val="14"/>
                <w:szCs w:val="14"/>
              </w:rPr>
            </w:pPr>
            <w:r>
              <w:rPr>
                <w:sz w:val="14"/>
                <w:szCs w:val="14"/>
              </w:rPr>
              <w:t>1,439</w:t>
            </w:r>
          </w:p>
        </w:tc>
        <w:tc>
          <w:tcPr>
            <w:tcW w:w="410" w:type="pct"/>
            <w:tcBorders>
              <w:top w:val="nil"/>
              <w:left w:val="nil"/>
              <w:bottom w:val="single" w:sz="12" w:space="0" w:color="auto"/>
              <w:right w:val="nil"/>
            </w:tcBorders>
            <w:shd w:val="clear" w:color="auto" w:fill="auto"/>
            <w:vAlign w:val="center"/>
          </w:tcPr>
          <w:p w:rsidR="00295FF8" w:rsidRDefault="00295FF8" w:rsidP="00295FF8">
            <w:pPr>
              <w:jc w:val="right"/>
              <w:rPr>
                <w:sz w:val="14"/>
                <w:szCs w:val="14"/>
              </w:rPr>
            </w:pPr>
            <w:r>
              <w:rPr>
                <w:sz w:val="14"/>
                <w:szCs w:val="14"/>
              </w:rPr>
              <w:t>1,615</w:t>
            </w:r>
          </w:p>
        </w:tc>
        <w:tc>
          <w:tcPr>
            <w:tcW w:w="410" w:type="pct"/>
            <w:tcBorders>
              <w:top w:val="nil"/>
              <w:left w:val="nil"/>
              <w:bottom w:val="single" w:sz="12" w:space="0" w:color="auto"/>
              <w:right w:val="nil"/>
            </w:tcBorders>
            <w:shd w:val="clear" w:color="auto" w:fill="auto"/>
            <w:vAlign w:val="center"/>
          </w:tcPr>
          <w:p w:rsidR="00295FF8" w:rsidRDefault="00295FF8" w:rsidP="00295FF8">
            <w:pPr>
              <w:jc w:val="right"/>
              <w:rPr>
                <w:sz w:val="14"/>
                <w:szCs w:val="14"/>
              </w:rPr>
            </w:pPr>
            <w:r>
              <w:rPr>
                <w:sz w:val="14"/>
                <w:szCs w:val="14"/>
              </w:rPr>
              <w:t>(20)</w:t>
            </w:r>
          </w:p>
        </w:tc>
        <w:tc>
          <w:tcPr>
            <w:tcW w:w="409" w:type="pct"/>
            <w:tcBorders>
              <w:top w:val="nil"/>
              <w:left w:val="nil"/>
              <w:bottom w:val="single" w:sz="12" w:space="0" w:color="auto"/>
              <w:right w:val="nil"/>
            </w:tcBorders>
            <w:shd w:val="clear" w:color="auto" w:fill="auto"/>
            <w:vAlign w:val="center"/>
          </w:tcPr>
          <w:p w:rsidR="00295FF8" w:rsidRDefault="00295FF8" w:rsidP="00295FF8">
            <w:pPr>
              <w:jc w:val="right"/>
              <w:rPr>
                <w:sz w:val="14"/>
                <w:szCs w:val="14"/>
              </w:rPr>
            </w:pPr>
            <w:r>
              <w:rPr>
                <w:sz w:val="14"/>
                <w:szCs w:val="14"/>
              </w:rPr>
              <w:t>3,034</w:t>
            </w:r>
          </w:p>
        </w:tc>
      </w:tr>
      <w:tr w:rsidR="00295FF8" w:rsidRPr="00D5469A" w:rsidTr="00E46CB9">
        <w:trPr>
          <w:trHeight w:val="645"/>
        </w:trPr>
        <w:tc>
          <w:tcPr>
            <w:tcW w:w="5000" w:type="pct"/>
            <w:gridSpan w:val="9"/>
            <w:tcBorders>
              <w:top w:val="single" w:sz="12" w:space="0" w:color="auto"/>
              <w:left w:val="nil"/>
              <w:right w:val="nil"/>
            </w:tcBorders>
            <w:shd w:val="clear" w:color="auto" w:fill="auto"/>
            <w:vAlign w:val="center"/>
          </w:tcPr>
          <w:p w:rsidR="00295FF8" w:rsidRDefault="00295FF8" w:rsidP="00295FF8">
            <w:pPr>
              <w:ind w:hanging="95"/>
              <w:jc w:val="right"/>
              <w:rPr>
                <w:color w:val="auto"/>
                <w:sz w:val="12"/>
                <w:szCs w:val="16"/>
              </w:rPr>
            </w:pPr>
            <w:r>
              <w:rPr>
                <w:sz w:val="14"/>
                <w:szCs w:val="14"/>
              </w:rPr>
              <w:t>Source: Statistics &amp; Data Warehouse Department SBP</w:t>
            </w:r>
          </w:p>
          <w:p w:rsidR="00295FF8" w:rsidRPr="009836DB" w:rsidRDefault="00295FF8" w:rsidP="00295FF8">
            <w:pPr>
              <w:ind w:hanging="95"/>
              <w:jc w:val="left"/>
              <w:rPr>
                <w:color w:val="auto"/>
                <w:sz w:val="13"/>
                <w:szCs w:val="13"/>
              </w:rPr>
            </w:pPr>
            <w:r w:rsidRPr="009836DB">
              <w:rPr>
                <w:color w:val="auto"/>
                <w:sz w:val="13"/>
                <w:szCs w:val="13"/>
              </w:rPr>
              <w:t>* DFIs also includes HBFC &amp; PMRCL data.</w:t>
            </w:r>
          </w:p>
          <w:p w:rsidR="00295FF8" w:rsidRPr="009836DB" w:rsidRDefault="00295FF8" w:rsidP="00295FF8">
            <w:pPr>
              <w:ind w:hanging="95"/>
              <w:jc w:val="left"/>
              <w:rPr>
                <w:color w:val="auto"/>
                <w:sz w:val="13"/>
                <w:szCs w:val="13"/>
              </w:rPr>
            </w:pPr>
            <w:r w:rsidRPr="009836DB">
              <w:rPr>
                <w:color w:val="auto"/>
                <w:sz w:val="13"/>
                <w:szCs w:val="13"/>
              </w:rPr>
              <w:t>DFIs Development Finance Institutions</w:t>
            </w:r>
          </w:p>
          <w:p w:rsidR="00295FF8" w:rsidRPr="009836DB" w:rsidRDefault="00295FF8" w:rsidP="00295FF8">
            <w:pPr>
              <w:ind w:hanging="95"/>
              <w:jc w:val="left"/>
              <w:rPr>
                <w:color w:val="auto"/>
                <w:sz w:val="13"/>
                <w:szCs w:val="13"/>
              </w:rPr>
            </w:pPr>
            <w:r w:rsidRPr="009836DB">
              <w:rPr>
                <w:color w:val="auto"/>
                <w:sz w:val="13"/>
                <w:szCs w:val="13"/>
              </w:rPr>
              <w:t>NBFCs  Non-Bank Financial Companies</w:t>
            </w:r>
          </w:p>
          <w:p w:rsidR="00295FF8" w:rsidRPr="00D5469A" w:rsidRDefault="00295FF8" w:rsidP="00295FF8">
            <w:pPr>
              <w:ind w:hanging="95"/>
              <w:jc w:val="left"/>
              <w:rPr>
                <w:color w:val="auto"/>
                <w:sz w:val="12"/>
                <w:szCs w:val="16"/>
              </w:rPr>
            </w:pPr>
            <w:r w:rsidRPr="009836DB">
              <w:rPr>
                <w:color w:val="auto"/>
                <w:sz w:val="13"/>
                <w:szCs w:val="13"/>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295FF8" w:rsidRPr="00D5469A"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color w:val="auto"/>
                <w:szCs w:val="16"/>
              </w:rPr>
            </w:pPr>
            <w:r>
              <w:rPr>
                <w:b/>
                <w:bCs/>
                <w:color w:val="auto"/>
                <w:szCs w:val="22"/>
              </w:rPr>
              <w:t>Dec-20</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color w:val="auto"/>
                <w:szCs w:val="16"/>
              </w:rPr>
            </w:pPr>
            <w:r>
              <w:rPr>
                <w:b/>
                <w:color w:val="auto"/>
                <w:szCs w:val="16"/>
              </w:rPr>
              <w:t>Mar-21</w:t>
            </w:r>
          </w:p>
        </w:tc>
      </w:tr>
      <w:tr w:rsidR="00295FF8" w:rsidRPr="00D5469A"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105,727</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5,289</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111,017</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108,916</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3,779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112,695</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4,768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1,831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6,599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4,762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1,487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6,249</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100,959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3,458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104,418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104,155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2,292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106,447</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9,236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46,326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55,562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9,426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23,582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33,008</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6,017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17,085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23,102</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3,525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19,666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23,191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2,664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4,801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7,464</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5,105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69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5,174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680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1,535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2,215</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542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26,591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27,133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65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74</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95FF8" w:rsidRPr="00D5469A" w:rsidRDefault="00295FF8" w:rsidP="00295FF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64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(128)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sz w:val="14"/>
                <w:szCs w:val="14"/>
              </w:rPr>
            </w:pPr>
            <w:r>
              <w:rPr>
                <w:sz w:val="14"/>
                <w:szCs w:val="14"/>
              </w:rPr>
              <w:t>(63)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sz w:val="14"/>
                <w:szCs w:val="14"/>
              </w:rPr>
            </w:pPr>
            <w:r>
              <w:rPr>
                <w:sz w:val="14"/>
                <w:szCs w:val="14"/>
              </w:rPr>
              <w:t>153</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127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61,034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11,434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72,468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48,836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11,612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60,447</w:t>
            </w:r>
          </w:p>
        </w:tc>
      </w:tr>
      <w:tr w:rsidR="00295FF8"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19,570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19,570</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95FF8" w:rsidRPr="00D5469A" w:rsidRDefault="00295FF8" w:rsidP="00295FF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6,400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20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6,420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1,693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95FF8" w:rsidRDefault="00295FF8" w:rsidP="00295FF8">
            <w:pPr>
              <w:jc w:val="right"/>
              <w:rPr>
                <w:b/>
                <w:bCs/>
                <w:sz w:val="14"/>
                <w:szCs w:val="14"/>
              </w:rPr>
            </w:pPr>
            <w:r>
              <w:rPr>
                <w:b/>
                <w:bCs/>
                <w:sz w:val="14"/>
                <w:szCs w:val="14"/>
              </w:rPr>
              <w:t>1,693</w:t>
            </w:r>
          </w:p>
        </w:tc>
      </w:tr>
      <w:tr w:rsidR="00295FF8"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227,258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12,582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239,840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243,701</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14,048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257,749</w:t>
            </w:r>
          </w:p>
        </w:tc>
      </w:tr>
      <w:tr w:rsidR="00295FF8" w:rsidRPr="00D5469A" w:rsidTr="000E1EB2">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295FF8" w:rsidRPr="00D5469A" w:rsidRDefault="00295FF8" w:rsidP="00295FF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409,672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75,650</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95FF8" w:rsidRDefault="00295FF8" w:rsidP="00295FF8">
            <w:pPr>
              <w:jc w:val="right"/>
              <w:rPr>
                <w:b/>
                <w:bCs/>
                <w:sz w:val="14"/>
                <w:szCs w:val="14"/>
              </w:rPr>
            </w:pPr>
            <w:r>
              <w:rPr>
                <w:b/>
                <w:bCs/>
                <w:sz w:val="14"/>
                <w:szCs w:val="14"/>
              </w:rPr>
              <w:t>485,322</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432,142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53,021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95FF8" w:rsidRDefault="00295FF8" w:rsidP="00295FF8">
            <w:pPr>
              <w:jc w:val="right"/>
              <w:rPr>
                <w:b/>
                <w:bCs/>
                <w:sz w:val="14"/>
                <w:szCs w:val="14"/>
              </w:rPr>
            </w:pPr>
            <w:r>
              <w:rPr>
                <w:b/>
                <w:bCs/>
                <w:sz w:val="14"/>
                <w:szCs w:val="14"/>
              </w:rPr>
              <w:t>485,163</w:t>
            </w:r>
          </w:p>
        </w:tc>
      </w:tr>
      <w:tr w:rsidR="00295FF8"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295FF8" w:rsidRDefault="00295FF8" w:rsidP="00295FF8">
            <w:pPr>
              <w:jc w:val="right"/>
              <w:rPr>
                <w:color w:val="auto"/>
                <w:sz w:val="12"/>
                <w:szCs w:val="16"/>
              </w:rPr>
            </w:pPr>
            <w:r>
              <w:rPr>
                <w:sz w:val="14"/>
                <w:szCs w:val="14"/>
              </w:rPr>
              <w:t>Source: Statistics &amp; Data Warehouse Department SBP</w:t>
            </w:r>
          </w:p>
          <w:p w:rsidR="00295FF8" w:rsidRPr="009836DB" w:rsidRDefault="00295FF8" w:rsidP="00295FF8">
            <w:pPr>
              <w:jc w:val="left"/>
              <w:rPr>
                <w:color w:val="auto"/>
                <w:sz w:val="13"/>
                <w:szCs w:val="13"/>
              </w:rPr>
            </w:pPr>
            <w:r w:rsidRPr="009836DB">
              <w:rPr>
                <w:color w:val="auto"/>
                <w:sz w:val="13"/>
                <w:szCs w:val="13"/>
              </w:rPr>
              <w:t>* This includes Depository NBFCs, DFIs and MFIs.</w:t>
            </w:r>
          </w:p>
          <w:p w:rsidR="00295FF8" w:rsidRPr="00D5469A" w:rsidRDefault="00295FF8" w:rsidP="00295FF8">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&amp;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295FF8"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295FF8" w:rsidRPr="00D5469A" w:rsidRDefault="00295FF8" w:rsidP="00295FF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95FF8" w:rsidRPr="00D5469A" w:rsidRDefault="00295FF8" w:rsidP="00295FF8">
            <w:pPr>
              <w:jc w:val="right"/>
              <w:rPr>
                <w:b/>
                <w:bCs/>
                <w:color w:val="auto"/>
                <w:szCs w:val="22"/>
              </w:rPr>
            </w:pPr>
            <w:r>
              <w:rPr>
                <w:b/>
                <w:bCs/>
                <w:color w:val="auto"/>
                <w:szCs w:val="22"/>
              </w:rPr>
              <w:t>Dec-19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95FF8" w:rsidRPr="00D5469A" w:rsidRDefault="00295FF8" w:rsidP="00295FF8">
            <w:pPr>
              <w:jc w:val="right"/>
              <w:rPr>
                <w:b/>
                <w:bCs/>
                <w:color w:val="auto"/>
                <w:szCs w:val="22"/>
              </w:rPr>
            </w:pPr>
            <w:r>
              <w:rPr>
                <w:b/>
                <w:bCs/>
                <w:color w:val="auto"/>
                <w:szCs w:val="22"/>
              </w:rPr>
              <w:t>Mar-20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95FF8" w:rsidRPr="00D5469A" w:rsidRDefault="00295FF8" w:rsidP="00295FF8">
            <w:pPr>
              <w:jc w:val="right"/>
              <w:rPr>
                <w:b/>
                <w:bCs/>
                <w:color w:val="auto"/>
                <w:szCs w:val="22"/>
              </w:rPr>
            </w:pPr>
            <w:r>
              <w:rPr>
                <w:b/>
                <w:bCs/>
                <w:color w:val="auto"/>
                <w:szCs w:val="22"/>
              </w:rPr>
              <w:t>Jun-20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295FF8" w:rsidRPr="00D5469A" w:rsidRDefault="00295FF8" w:rsidP="00295FF8">
            <w:pPr>
              <w:jc w:val="right"/>
              <w:rPr>
                <w:b/>
                <w:bCs/>
                <w:color w:val="auto"/>
                <w:szCs w:val="22"/>
              </w:rPr>
            </w:pPr>
            <w:r>
              <w:rPr>
                <w:b/>
                <w:bCs/>
                <w:color w:val="auto"/>
                <w:szCs w:val="22"/>
              </w:rPr>
              <w:t>Sep-20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95FF8" w:rsidRPr="00D5469A" w:rsidRDefault="00295FF8" w:rsidP="00295FF8">
            <w:pPr>
              <w:jc w:val="right"/>
              <w:rPr>
                <w:b/>
                <w:bCs/>
                <w:color w:val="auto"/>
                <w:szCs w:val="22"/>
              </w:rPr>
            </w:pPr>
            <w:r>
              <w:rPr>
                <w:b/>
                <w:bCs/>
                <w:color w:val="auto"/>
                <w:szCs w:val="22"/>
              </w:rPr>
              <w:t>Dec-20</w:t>
            </w:r>
          </w:p>
        </w:tc>
        <w:tc>
          <w:tcPr>
            <w:tcW w:w="792" w:type="dxa"/>
            <w:tcBorders>
              <w:top w:val="single" w:sz="8" w:space="0" w:color="auto"/>
              <w:left w:val="single" w:sz="4" w:space="0" w:color="auto"/>
              <w:bottom w:val="single" w:sz="12" w:space="0" w:color="auto"/>
            </w:tcBorders>
            <w:shd w:val="clear" w:color="auto" w:fill="auto"/>
            <w:noWrap/>
            <w:vAlign w:val="center"/>
          </w:tcPr>
          <w:p w:rsidR="00295FF8" w:rsidRPr="00D5469A" w:rsidRDefault="00295FF8" w:rsidP="00295FF8">
            <w:pPr>
              <w:jc w:val="right"/>
              <w:rPr>
                <w:b/>
                <w:bCs/>
                <w:color w:val="auto"/>
                <w:szCs w:val="22"/>
              </w:rPr>
            </w:pPr>
            <w:r>
              <w:rPr>
                <w:b/>
                <w:bCs/>
                <w:color w:val="auto"/>
                <w:szCs w:val="22"/>
              </w:rPr>
              <w:t>Mar-21</w:t>
            </w:r>
          </w:p>
        </w:tc>
      </w:tr>
      <w:tr w:rsidR="00295FF8" w:rsidRPr="00D5469A" w:rsidTr="00DF4C38">
        <w:trPr>
          <w:trHeight w:hRule="exact" w:val="259"/>
        </w:trPr>
        <w:tc>
          <w:tcPr>
            <w:tcW w:w="4068" w:type="dxa"/>
            <w:tcBorders>
              <w:top w:val="single" w:sz="12" w:space="0" w:color="auto"/>
            </w:tcBorders>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105,948</w:t>
            </w:r>
          </w:p>
        </w:tc>
        <w:tc>
          <w:tcPr>
            <w:tcW w:w="900" w:type="dxa"/>
            <w:tcBorders>
              <w:top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98,767</w:t>
            </w:r>
          </w:p>
        </w:tc>
        <w:tc>
          <w:tcPr>
            <w:tcW w:w="900" w:type="dxa"/>
            <w:tcBorders>
              <w:top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118,538</w:t>
            </w:r>
          </w:p>
        </w:tc>
        <w:tc>
          <w:tcPr>
            <w:tcW w:w="990" w:type="dxa"/>
            <w:tcBorders>
              <w:top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127,031</w:t>
            </w:r>
          </w:p>
        </w:tc>
        <w:tc>
          <w:tcPr>
            <w:tcW w:w="900" w:type="dxa"/>
            <w:tcBorders>
              <w:top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145,169</w:t>
            </w:r>
          </w:p>
        </w:tc>
        <w:tc>
          <w:tcPr>
            <w:tcW w:w="792" w:type="dxa"/>
            <w:tcBorders>
              <w:top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133,909</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295FF8" w:rsidRDefault="00295FF8" w:rsidP="00295FF8">
            <w:pPr>
              <w:jc w:val="right"/>
              <w:rPr>
                <w:sz w:val="14"/>
                <w:szCs w:val="14"/>
              </w:rPr>
            </w:pPr>
            <w:r>
              <w:rPr>
                <w:sz w:val="14"/>
                <w:szCs w:val="14"/>
              </w:rPr>
              <w:t>22,638</w:t>
            </w:r>
          </w:p>
        </w:tc>
        <w:tc>
          <w:tcPr>
            <w:tcW w:w="900" w:type="dxa"/>
            <w:shd w:val="clear" w:color="auto" w:fill="auto"/>
            <w:noWrap/>
            <w:vAlign w:val="center"/>
          </w:tcPr>
          <w:p w:rsidR="00295FF8" w:rsidRDefault="00295FF8" w:rsidP="00295FF8">
            <w:pPr>
              <w:jc w:val="right"/>
              <w:rPr>
                <w:sz w:val="14"/>
                <w:szCs w:val="14"/>
              </w:rPr>
            </w:pPr>
            <w:r>
              <w:rPr>
                <w:sz w:val="14"/>
                <w:szCs w:val="14"/>
              </w:rPr>
              <w:t>24,875</w:t>
            </w:r>
          </w:p>
        </w:tc>
        <w:tc>
          <w:tcPr>
            <w:tcW w:w="900" w:type="dxa"/>
            <w:shd w:val="clear" w:color="auto" w:fill="auto"/>
            <w:noWrap/>
            <w:vAlign w:val="center"/>
          </w:tcPr>
          <w:p w:rsidR="00295FF8" w:rsidRDefault="00295FF8" w:rsidP="00295FF8">
            <w:pPr>
              <w:jc w:val="right"/>
              <w:rPr>
                <w:sz w:val="14"/>
                <w:szCs w:val="14"/>
              </w:rPr>
            </w:pPr>
            <w:r>
              <w:rPr>
                <w:sz w:val="14"/>
                <w:szCs w:val="14"/>
              </w:rPr>
              <w:t>28,487</w:t>
            </w:r>
          </w:p>
        </w:tc>
        <w:tc>
          <w:tcPr>
            <w:tcW w:w="990" w:type="dxa"/>
            <w:shd w:val="clear" w:color="auto" w:fill="auto"/>
            <w:noWrap/>
            <w:vAlign w:val="center"/>
          </w:tcPr>
          <w:p w:rsidR="00295FF8" w:rsidRDefault="00295FF8" w:rsidP="00295FF8">
            <w:pPr>
              <w:jc w:val="right"/>
              <w:rPr>
                <w:sz w:val="14"/>
                <w:szCs w:val="14"/>
              </w:rPr>
            </w:pPr>
            <w:r>
              <w:rPr>
                <w:sz w:val="14"/>
                <w:szCs w:val="14"/>
              </w:rPr>
              <w:t>28,456</w:t>
            </w:r>
          </w:p>
        </w:tc>
        <w:tc>
          <w:tcPr>
            <w:tcW w:w="900" w:type="dxa"/>
            <w:shd w:val="clear" w:color="auto" w:fill="auto"/>
            <w:noWrap/>
            <w:vAlign w:val="center"/>
          </w:tcPr>
          <w:p w:rsidR="00295FF8" w:rsidRDefault="00295FF8" w:rsidP="00295FF8">
            <w:pPr>
              <w:jc w:val="right"/>
              <w:rPr>
                <w:sz w:val="14"/>
                <w:szCs w:val="14"/>
              </w:rPr>
            </w:pPr>
            <w:r>
              <w:rPr>
                <w:sz w:val="14"/>
                <w:szCs w:val="14"/>
              </w:rPr>
              <w:t>32,678</w:t>
            </w:r>
          </w:p>
        </w:tc>
        <w:tc>
          <w:tcPr>
            <w:tcW w:w="792" w:type="dxa"/>
            <w:shd w:val="clear" w:color="auto" w:fill="auto"/>
            <w:noWrap/>
            <w:vAlign w:val="center"/>
          </w:tcPr>
          <w:p w:rsidR="00295FF8" w:rsidRDefault="00295FF8" w:rsidP="00295FF8">
            <w:pPr>
              <w:jc w:val="right"/>
              <w:rPr>
                <w:sz w:val="14"/>
                <w:szCs w:val="14"/>
              </w:rPr>
            </w:pPr>
            <w:r>
              <w:rPr>
                <w:sz w:val="14"/>
                <w:szCs w:val="14"/>
              </w:rPr>
              <w:t>31,729</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295FF8" w:rsidRDefault="00295FF8" w:rsidP="00295FF8">
            <w:pPr>
              <w:jc w:val="right"/>
              <w:rPr>
                <w:sz w:val="14"/>
                <w:szCs w:val="14"/>
              </w:rPr>
            </w:pPr>
            <w:r>
              <w:rPr>
                <w:sz w:val="14"/>
                <w:szCs w:val="14"/>
              </w:rPr>
              <w:t>83,310</w:t>
            </w:r>
          </w:p>
        </w:tc>
        <w:tc>
          <w:tcPr>
            <w:tcW w:w="900" w:type="dxa"/>
            <w:shd w:val="clear" w:color="auto" w:fill="auto"/>
            <w:noWrap/>
            <w:vAlign w:val="center"/>
          </w:tcPr>
          <w:p w:rsidR="00295FF8" w:rsidRDefault="00295FF8" w:rsidP="00295FF8">
            <w:pPr>
              <w:jc w:val="right"/>
              <w:rPr>
                <w:sz w:val="14"/>
                <w:szCs w:val="14"/>
              </w:rPr>
            </w:pPr>
            <w:r>
              <w:rPr>
                <w:sz w:val="14"/>
                <w:szCs w:val="14"/>
              </w:rPr>
              <w:t>73,892</w:t>
            </w:r>
          </w:p>
        </w:tc>
        <w:tc>
          <w:tcPr>
            <w:tcW w:w="900" w:type="dxa"/>
            <w:shd w:val="clear" w:color="auto" w:fill="auto"/>
            <w:noWrap/>
            <w:vAlign w:val="center"/>
          </w:tcPr>
          <w:p w:rsidR="00295FF8" w:rsidRDefault="00295FF8" w:rsidP="00295FF8">
            <w:pPr>
              <w:jc w:val="right"/>
              <w:rPr>
                <w:sz w:val="14"/>
                <w:szCs w:val="14"/>
              </w:rPr>
            </w:pPr>
            <w:r>
              <w:rPr>
                <w:sz w:val="14"/>
                <w:szCs w:val="14"/>
              </w:rPr>
              <w:t>90,050</w:t>
            </w:r>
          </w:p>
        </w:tc>
        <w:tc>
          <w:tcPr>
            <w:tcW w:w="990" w:type="dxa"/>
            <w:shd w:val="clear" w:color="auto" w:fill="auto"/>
            <w:noWrap/>
            <w:vAlign w:val="center"/>
          </w:tcPr>
          <w:p w:rsidR="00295FF8" w:rsidRDefault="00295FF8" w:rsidP="00295FF8">
            <w:pPr>
              <w:jc w:val="right"/>
              <w:rPr>
                <w:sz w:val="14"/>
                <w:szCs w:val="14"/>
              </w:rPr>
            </w:pPr>
            <w:r>
              <w:rPr>
                <w:sz w:val="14"/>
                <w:szCs w:val="14"/>
              </w:rPr>
              <w:t>98,575</w:t>
            </w:r>
          </w:p>
        </w:tc>
        <w:tc>
          <w:tcPr>
            <w:tcW w:w="900" w:type="dxa"/>
            <w:shd w:val="clear" w:color="auto" w:fill="auto"/>
            <w:noWrap/>
            <w:vAlign w:val="center"/>
          </w:tcPr>
          <w:p w:rsidR="00295FF8" w:rsidRDefault="00295FF8" w:rsidP="00295FF8">
            <w:pPr>
              <w:jc w:val="right"/>
              <w:rPr>
                <w:sz w:val="14"/>
                <w:szCs w:val="14"/>
              </w:rPr>
            </w:pPr>
            <w:r>
              <w:rPr>
                <w:sz w:val="14"/>
                <w:szCs w:val="14"/>
              </w:rPr>
              <w:t>112,492</w:t>
            </w:r>
          </w:p>
        </w:tc>
        <w:tc>
          <w:tcPr>
            <w:tcW w:w="792" w:type="dxa"/>
            <w:shd w:val="clear" w:color="auto" w:fill="auto"/>
            <w:noWrap/>
            <w:vAlign w:val="center"/>
          </w:tcPr>
          <w:p w:rsidR="00295FF8" w:rsidRDefault="00295FF8" w:rsidP="00295FF8">
            <w:pPr>
              <w:jc w:val="right"/>
              <w:rPr>
                <w:sz w:val="14"/>
                <w:szCs w:val="14"/>
              </w:rPr>
            </w:pPr>
            <w:r>
              <w:rPr>
                <w:sz w:val="14"/>
                <w:szCs w:val="14"/>
              </w:rPr>
              <w:t>102,180</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32,903</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36,991</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42,069</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52,525</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60,973</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53,800</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295FF8" w:rsidRDefault="00295FF8" w:rsidP="00295FF8">
            <w:pPr>
              <w:jc w:val="right"/>
              <w:rPr>
                <w:sz w:val="14"/>
                <w:szCs w:val="14"/>
              </w:rPr>
            </w:pPr>
            <w:r>
              <w:rPr>
                <w:sz w:val="14"/>
                <w:szCs w:val="14"/>
              </w:rPr>
              <w:t>9,340</w:t>
            </w:r>
          </w:p>
        </w:tc>
        <w:tc>
          <w:tcPr>
            <w:tcW w:w="900" w:type="dxa"/>
            <w:shd w:val="clear" w:color="auto" w:fill="auto"/>
            <w:noWrap/>
            <w:vAlign w:val="center"/>
          </w:tcPr>
          <w:p w:rsidR="00295FF8" w:rsidRDefault="00295FF8" w:rsidP="00295FF8">
            <w:pPr>
              <w:jc w:val="right"/>
              <w:rPr>
                <w:sz w:val="14"/>
                <w:szCs w:val="14"/>
              </w:rPr>
            </w:pPr>
            <w:r>
              <w:rPr>
                <w:sz w:val="14"/>
                <w:szCs w:val="14"/>
              </w:rPr>
              <w:t>10,472</w:t>
            </w:r>
          </w:p>
        </w:tc>
        <w:tc>
          <w:tcPr>
            <w:tcW w:w="900" w:type="dxa"/>
            <w:shd w:val="clear" w:color="auto" w:fill="auto"/>
            <w:noWrap/>
            <w:vAlign w:val="center"/>
          </w:tcPr>
          <w:p w:rsidR="00295FF8" w:rsidRDefault="00295FF8" w:rsidP="00295FF8">
            <w:pPr>
              <w:jc w:val="right"/>
              <w:rPr>
                <w:sz w:val="14"/>
                <w:szCs w:val="14"/>
              </w:rPr>
            </w:pPr>
            <w:r>
              <w:rPr>
                <w:sz w:val="14"/>
                <w:szCs w:val="14"/>
              </w:rPr>
              <w:t>8,906</w:t>
            </w:r>
          </w:p>
        </w:tc>
        <w:tc>
          <w:tcPr>
            <w:tcW w:w="990" w:type="dxa"/>
            <w:shd w:val="clear" w:color="auto" w:fill="auto"/>
            <w:noWrap/>
            <w:vAlign w:val="center"/>
          </w:tcPr>
          <w:p w:rsidR="00295FF8" w:rsidRDefault="00295FF8" w:rsidP="00295FF8">
            <w:pPr>
              <w:jc w:val="right"/>
              <w:rPr>
                <w:sz w:val="14"/>
                <w:szCs w:val="14"/>
              </w:rPr>
            </w:pPr>
            <w:r>
              <w:rPr>
                <w:sz w:val="14"/>
                <w:szCs w:val="14"/>
              </w:rPr>
              <w:t>9,044</w:t>
            </w:r>
          </w:p>
        </w:tc>
        <w:tc>
          <w:tcPr>
            <w:tcW w:w="900" w:type="dxa"/>
            <w:shd w:val="clear" w:color="auto" w:fill="auto"/>
            <w:noWrap/>
            <w:vAlign w:val="center"/>
          </w:tcPr>
          <w:p w:rsidR="00295FF8" w:rsidRDefault="00295FF8" w:rsidP="00295FF8">
            <w:pPr>
              <w:jc w:val="right"/>
              <w:rPr>
                <w:sz w:val="14"/>
                <w:szCs w:val="14"/>
              </w:rPr>
            </w:pPr>
            <w:r>
              <w:rPr>
                <w:sz w:val="14"/>
                <w:szCs w:val="14"/>
              </w:rPr>
              <w:t>11,886</w:t>
            </w:r>
          </w:p>
        </w:tc>
        <w:tc>
          <w:tcPr>
            <w:tcW w:w="792" w:type="dxa"/>
            <w:shd w:val="clear" w:color="auto" w:fill="auto"/>
            <w:noWrap/>
            <w:vAlign w:val="center"/>
          </w:tcPr>
          <w:p w:rsidR="00295FF8" w:rsidRDefault="00295FF8" w:rsidP="00295FF8">
            <w:pPr>
              <w:jc w:val="right"/>
              <w:rPr>
                <w:sz w:val="14"/>
                <w:szCs w:val="14"/>
              </w:rPr>
            </w:pPr>
            <w:r>
              <w:rPr>
                <w:sz w:val="14"/>
                <w:szCs w:val="14"/>
              </w:rPr>
              <w:t>9,524</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295FF8" w:rsidRDefault="00295FF8" w:rsidP="00295FF8">
            <w:pPr>
              <w:jc w:val="right"/>
              <w:rPr>
                <w:sz w:val="14"/>
                <w:szCs w:val="14"/>
              </w:rPr>
            </w:pPr>
            <w:r>
              <w:rPr>
                <w:sz w:val="14"/>
                <w:szCs w:val="14"/>
              </w:rPr>
              <w:t>16,765</w:t>
            </w:r>
          </w:p>
        </w:tc>
        <w:tc>
          <w:tcPr>
            <w:tcW w:w="900" w:type="dxa"/>
            <w:shd w:val="clear" w:color="auto" w:fill="auto"/>
            <w:noWrap/>
            <w:vAlign w:val="center"/>
          </w:tcPr>
          <w:p w:rsidR="00295FF8" w:rsidRDefault="00295FF8" w:rsidP="00295FF8">
            <w:pPr>
              <w:jc w:val="right"/>
              <w:rPr>
                <w:sz w:val="14"/>
                <w:szCs w:val="14"/>
              </w:rPr>
            </w:pPr>
            <w:r>
              <w:rPr>
                <w:sz w:val="14"/>
                <w:szCs w:val="14"/>
              </w:rPr>
              <w:t>21,554</w:t>
            </w:r>
          </w:p>
        </w:tc>
        <w:tc>
          <w:tcPr>
            <w:tcW w:w="900" w:type="dxa"/>
            <w:shd w:val="clear" w:color="auto" w:fill="auto"/>
            <w:noWrap/>
            <w:vAlign w:val="center"/>
          </w:tcPr>
          <w:p w:rsidR="00295FF8" w:rsidRDefault="00295FF8" w:rsidP="00295FF8">
            <w:pPr>
              <w:jc w:val="right"/>
              <w:rPr>
                <w:sz w:val="14"/>
                <w:szCs w:val="14"/>
              </w:rPr>
            </w:pPr>
            <w:r>
              <w:rPr>
                <w:sz w:val="14"/>
                <w:szCs w:val="14"/>
              </w:rPr>
              <w:t>27,642</w:t>
            </w:r>
          </w:p>
        </w:tc>
        <w:tc>
          <w:tcPr>
            <w:tcW w:w="990" w:type="dxa"/>
            <w:shd w:val="clear" w:color="auto" w:fill="auto"/>
            <w:noWrap/>
            <w:vAlign w:val="center"/>
          </w:tcPr>
          <w:p w:rsidR="00295FF8" w:rsidRDefault="00295FF8" w:rsidP="00295FF8">
            <w:pPr>
              <w:jc w:val="right"/>
              <w:rPr>
                <w:sz w:val="14"/>
                <w:szCs w:val="14"/>
              </w:rPr>
            </w:pPr>
            <w:r>
              <w:rPr>
                <w:sz w:val="14"/>
                <w:szCs w:val="14"/>
              </w:rPr>
              <w:t>37,298</w:t>
            </w:r>
          </w:p>
        </w:tc>
        <w:tc>
          <w:tcPr>
            <w:tcW w:w="900" w:type="dxa"/>
            <w:shd w:val="clear" w:color="auto" w:fill="auto"/>
            <w:noWrap/>
            <w:vAlign w:val="center"/>
          </w:tcPr>
          <w:p w:rsidR="00295FF8" w:rsidRDefault="00295FF8" w:rsidP="00295FF8">
            <w:pPr>
              <w:jc w:val="right"/>
              <w:rPr>
                <w:sz w:val="14"/>
                <w:szCs w:val="14"/>
              </w:rPr>
            </w:pPr>
            <w:r>
              <w:rPr>
                <w:sz w:val="14"/>
                <w:szCs w:val="14"/>
              </w:rPr>
              <w:t>42,204</w:t>
            </w:r>
          </w:p>
        </w:tc>
        <w:tc>
          <w:tcPr>
            <w:tcW w:w="792" w:type="dxa"/>
            <w:shd w:val="clear" w:color="auto" w:fill="auto"/>
            <w:noWrap/>
            <w:vAlign w:val="center"/>
          </w:tcPr>
          <w:p w:rsidR="00295FF8" w:rsidRDefault="00295FF8" w:rsidP="00295FF8">
            <w:pPr>
              <w:jc w:val="right"/>
              <w:rPr>
                <w:sz w:val="14"/>
                <w:szCs w:val="14"/>
              </w:rPr>
            </w:pPr>
            <w:r>
              <w:rPr>
                <w:sz w:val="14"/>
                <w:szCs w:val="14"/>
              </w:rPr>
              <w:t>37,904</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295FF8" w:rsidRDefault="00295FF8" w:rsidP="00295FF8">
            <w:pPr>
              <w:jc w:val="right"/>
              <w:rPr>
                <w:sz w:val="14"/>
                <w:szCs w:val="14"/>
              </w:rPr>
            </w:pPr>
            <w:r>
              <w:rPr>
                <w:sz w:val="14"/>
                <w:szCs w:val="14"/>
              </w:rPr>
              <w:t>4,483</w:t>
            </w:r>
          </w:p>
        </w:tc>
        <w:tc>
          <w:tcPr>
            <w:tcW w:w="900" w:type="dxa"/>
            <w:shd w:val="clear" w:color="auto" w:fill="auto"/>
            <w:noWrap/>
            <w:vAlign w:val="center"/>
          </w:tcPr>
          <w:p w:rsidR="00295FF8" w:rsidRDefault="00295FF8" w:rsidP="00295FF8">
            <w:pPr>
              <w:jc w:val="right"/>
              <w:rPr>
                <w:sz w:val="14"/>
                <w:szCs w:val="14"/>
              </w:rPr>
            </w:pPr>
            <w:r>
              <w:rPr>
                <w:sz w:val="14"/>
                <w:szCs w:val="14"/>
              </w:rPr>
              <w:t>2,822</w:t>
            </w:r>
          </w:p>
        </w:tc>
        <w:tc>
          <w:tcPr>
            <w:tcW w:w="900" w:type="dxa"/>
            <w:shd w:val="clear" w:color="auto" w:fill="auto"/>
            <w:noWrap/>
            <w:vAlign w:val="center"/>
          </w:tcPr>
          <w:p w:rsidR="00295FF8" w:rsidRDefault="00295FF8" w:rsidP="00295FF8">
            <w:pPr>
              <w:jc w:val="right"/>
              <w:rPr>
                <w:sz w:val="14"/>
                <w:szCs w:val="14"/>
              </w:rPr>
            </w:pPr>
            <w:r>
              <w:rPr>
                <w:sz w:val="14"/>
                <w:szCs w:val="14"/>
              </w:rPr>
              <w:t>3,201</w:t>
            </w:r>
          </w:p>
        </w:tc>
        <w:tc>
          <w:tcPr>
            <w:tcW w:w="990" w:type="dxa"/>
            <w:shd w:val="clear" w:color="auto" w:fill="auto"/>
            <w:noWrap/>
            <w:vAlign w:val="center"/>
          </w:tcPr>
          <w:p w:rsidR="00295FF8" w:rsidRDefault="00295FF8" w:rsidP="00295FF8">
            <w:pPr>
              <w:jc w:val="right"/>
              <w:rPr>
                <w:sz w:val="14"/>
                <w:szCs w:val="14"/>
              </w:rPr>
            </w:pPr>
            <w:r>
              <w:rPr>
                <w:sz w:val="14"/>
                <w:szCs w:val="14"/>
              </w:rPr>
              <w:t>3,737</w:t>
            </w:r>
          </w:p>
        </w:tc>
        <w:tc>
          <w:tcPr>
            <w:tcW w:w="900" w:type="dxa"/>
            <w:shd w:val="clear" w:color="auto" w:fill="auto"/>
            <w:noWrap/>
            <w:vAlign w:val="center"/>
          </w:tcPr>
          <w:p w:rsidR="00295FF8" w:rsidRDefault="00295FF8" w:rsidP="00295FF8">
            <w:pPr>
              <w:jc w:val="right"/>
              <w:rPr>
                <w:sz w:val="14"/>
                <w:szCs w:val="14"/>
              </w:rPr>
            </w:pPr>
            <w:r>
              <w:rPr>
                <w:sz w:val="14"/>
                <w:szCs w:val="14"/>
              </w:rPr>
              <w:t>4,380</w:t>
            </w:r>
          </w:p>
        </w:tc>
        <w:tc>
          <w:tcPr>
            <w:tcW w:w="792" w:type="dxa"/>
            <w:shd w:val="clear" w:color="auto" w:fill="auto"/>
            <w:noWrap/>
            <w:vAlign w:val="center"/>
          </w:tcPr>
          <w:p w:rsidR="00295FF8" w:rsidRDefault="00295FF8" w:rsidP="00295FF8">
            <w:pPr>
              <w:jc w:val="right"/>
              <w:rPr>
                <w:sz w:val="14"/>
                <w:szCs w:val="14"/>
              </w:rPr>
            </w:pPr>
            <w:r>
              <w:rPr>
                <w:sz w:val="14"/>
                <w:szCs w:val="14"/>
              </w:rPr>
              <w:t>4,098</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295FF8" w:rsidRDefault="00295FF8" w:rsidP="00295FF8">
            <w:pPr>
              <w:jc w:val="right"/>
              <w:rPr>
                <w:sz w:val="14"/>
                <w:szCs w:val="14"/>
              </w:rPr>
            </w:pPr>
            <w:r>
              <w:rPr>
                <w:sz w:val="14"/>
                <w:szCs w:val="14"/>
              </w:rPr>
              <w:t>26</w:t>
            </w:r>
          </w:p>
        </w:tc>
        <w:tc>
          <w:tcPr>
            <w:tcW w:w="900" w:type="dxa"/>
            <w:shd w:val="clear" w:color="auto" w:fill="auto"/>
            <w:noWrap/>
            <w:vAlign w:val="center"/>
          </w:tcPr>
          <w:p w:rsidR="00295FF8" w:rsidRDefault="00295FF8" w:rsidP="00295FF8">
            <w:pPr>
              <w:jc w:val="right"/>
              <w:rPr>
                <w:sz w:val="14"/>
                <w:szCs w:val="14"/>
              </w:rPr>
            </w:pPr>
            <w:r>
              <w:rPr>
                <w:sz w:val="14"/>
                <w:szCs w:val="14"/>
              </w:rPr>
              <w:t>4</w:t>
            </w:r>
          </w:p>
        </w:tc>
        <w:tc>
          <w:tcPr>
            <w:tcW w:w="900" w:type="dxa"/>
            <w:shd w:val="clear" w:color="auto" w:fill="auto"/>
            <w:noWrap/>
            <w:vAlign w:val="center"/>
          </w:tcPr>
          <w:p w:rsidR="00295FF8" w:rsidRDefault="00295FF8" w:rsidP="00295FF8">
            <w:pPr>
              <w:jc w:val="right"/>
              <w:rPr>
                <w:sz w:val="14"/>
                <w:szCs w:val="14"/>
              </w:rPr>
            </w:pPr>
            <w:r>
              <w:rPr>
                <w:sz w:val="14"/>
                <w:szCs w:val="14"/>
              </w:rPr>
              <w:t>3</w:t>
            </w:r>
          </w:p>
        </w:tc>
        <w:tc>
          <w:tcPr>
            <w:tcW w:w="990" w:type="dxa"/>
            <w:shd w:val="clear" w:color="auto" w:fill="auto"/>
            <w:noWrap/>
            <w:vAlign w:val="center"/>
          </w:tcPr>
          <w:p w:rsidR="00295FF8" w:rsidRDefault="00295FF8" w:rsidP="00295FF8">
            <w:pPr>
              <w:jc w:val="right"/>
              <w:rPr>
                <w:sz w:val="14"/>
                <w:szCs w:val="14"/>
              </w:rPr>
            </w:pPr>
            <w:r>
              <w:rPr>
                <w:sz w:val="14"/>
                <w:szCs w:val="14"/>
              </w:rPr>
              <w:t>2</w:t>
            </w:r>
          </w:p>
        </w:tc>
        <w:tc>
          <w:tcPr>
            <w:tcW w:w="900" w:type="dxa"/>
            <w:shd w:val="clear" w:color="auto" w:fill="auto"/>
            <w:noWrap/>
            <w:vAlign w:val="center"/>
          </w:tcPr>
          <w:p w:rsidR="00295FF8" w:rsidRDefault="00295FF8" w:rsidP="00295FF8">
            <w:pPr>
              <w:jc w:val="right"/>
              <w:rPr>
                <w:sz w:val="14"/>
                <w:szCs w:val="14"/>
              </w:rPr>
            </w:pPr>
            <w:r>
              <w:rPr>
                <w:sz w:val="14"/>
                <w:szCs w:val="14"/>
              </w:rPr>
              <w:t>2</w:t>
            </w:r>
          </w:p>
        </w:tc>
        <w:tc>
          <w:tcPr>
            <w:tcW w:w="792" w:type="dxa"/>
            <w:shd w:val="clear" w:color="auto" w:fill="auto"/>
            <w:noWrap/>
            <w:vAlign w:val="center"/>
          </w:tcPr>
          <w:p w:rsidR="00295FF8" w:rsidRDefault="00295FF8" w:rsidP="00295FF8">
            <w:pPr>
              <w:jc w:val="right"/>
              <w:rPr>
                <w:sz w:val="14"/>
                <w:szCs w:val="14"/>
              </w:rPr>
            </w:pPr>
            <w:r>
              <w:rPr>
                <w:sz w:val="14"/>
                <w:szCs w:val="14"/>
              </w:rPr>
              <w:t>3</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295FF8" w:rsidRDefault="00295FF8" w:rsidP="00295FF8">
            <w:pPr>
              <w:jc w:val="right"/>
              <w:rPr>
                <w:sz w:val="14"/>
                <w:szCs w:val="14"/>
              </w:rPr>
            </w:pPr>
            <w:r>
              <w:rPr>
                <w:sz w:val="14"/>
                <w:szCs w:val="14"/>
              </w:rPr>
              <w:t>2,290</w:t>
            </w:r>
          </w:p>
        </w:tc>
        <w:tc>
          <w:tcPr>
            <w:tcW w:w="900" w:type="dxa"/>
            <w:shd w:val="clear" w:color="auto" w:fill="auto"/>
            <w:noWrap/>
            <w:vAlign w:val="center"/>
          </w:tcPr>
          <w:p w:rsidR="00295FF8" w:rsidRDefault="00295FF8" w:rsidP="00295FF8">
            <w:pPr>
              <w:jc w:val="right"/>
              <w:rPr>
                <w:sz w:val="14"/>
                <w:szCs w:val="14"/>
              </w:rPr>
            </w:pPr>
            <w:r>
              <w:rPr>
                <w:sz w:val="14"/>
                <w:szCs w:val="14"/>
              </w:rPr>
              <w:t>2,140</w:t>
            </w:r>
          </w:p>
        </w:tc>
        <w:tc>
          <w:tcPr>
            <w:tcW w:w="900" w:type="dxa"/>
            <w:shd w:val="clear" w:color="auto" w:fill="auto"/>
            <w:noWrap/>
            <w:vAlign w:val="center"/>
          </w:tcPr>
          <w:p w:rsidR="00295FF8" w:rsidRDefault="00295FF8" w:rsidP="00295FF8">
            <w:pPr>
              <w:jc w:val="right"/>
              <w:rPr>
                <w:sz w:val="14"/>
                <w:szCs w:val="14"/>
              </w:rPr>
            </w:pPr>
            <w:r>
              <w:rPr>
                <w:sz w:val="14"/>
                <w:szCs w:val="14"/>
              </w:rPr>
              <w:t>2,318</w:t>
            </w:r>
          </w:p>
        </w:tc>
        <w:tc>
          <w:tcPr>
            <w:tcW w:w="990" w:type="dxa"/>
            <w:shd w:val="clear" w:color="auto" w:fill="auto"/>
            <w:noWrap/>
            <w:vAlign w:val="center"/>
          </w:tcPr>
          <w:p w:rsidR="00295FF8" w:rsidRDefault="00295FF8" w:rsidP="00295FF8">
            <w:pPr>
              <w:jc w:val="right"/>
              <w:rPr>
                <w:sz w:val="14"/>
                <w:szCs w:val="14"/>
              </w:rPr>
            </w:pPr>
            <w:r>
              <w:rPr>
                <w:sz w:val="14"/>
                <w:szCs w:val="14"/>
              </w:rPr>
              <w:t>2,445</w:t>
            </w:r>
          </w:p>
        </w:tc>
        <w:tc>
          <w:tcPr>
            <w:tcW w:w="900" w:type="dxa"/>
            <w:shd w:val="clear" w:color="auto" w:fill="auto"/>
            <w:noWrap/>
            <w:vAlign w:val="center"/>
          </w:tcPr>
          <w:p w:rsidR="00295FF8" w:rsidRDefault="00295FF8" w:rsidP="00295FF8">
            <w:pPr>
              <w:jc w:val="right"/>
              <w:rPr>
                <w:sz w:val="14"/>
                <w:szCs w:val="14"/>
              </w:rPr>
            </w:pPr>
            <w:r>
              <w:rPr>
                <w:sz w:val="14"/>
                <w:szCs w:val="14"/>
              </w:rPr>
              <w:t>2,500</w:t>
            </w:r>
          </w:p>
        </w:tc>
        <w:tc>
          <w:tcPr>
            <w:tcW w:w="792" w:type="dxa"/>
            <w:shd w:val="clear" w:color="auto" w:fill="auto"/>
            <w:noWrap/>
            <w:vAlign w:val="center"/>
          </w:tcPr>
          <w:p w:rsidR="00295FF8" w:rsidRDefault="00295FF8" w:rsidP="00295FF8">
            <w:pPr>
              <w:jc w:val="right"/>
              <w:rPr>
                <w:sz w:val="14"/>
                <w:szCs w:val="14"/>
              </w:rPr>
            </w:pPr>
            <w:r>
              <w:rPr>
                <w:sz w:val="14"/>
                <w:szCs w:val="14"/>
              </w:rPr>
              <w:t>2,271</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614</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1,007</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1,009</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1,005</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951</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934</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2,718</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2,577</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1,983</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2,619</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2,111</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1,819</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305</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308</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343</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331</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81</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469</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151,032</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153,275</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170,386</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181,783</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200,998</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209,351</w:t>
            </w:r>
          </w:p>
        </w:tc>
      </w:tr>
      <w:tr w:rsidR="00295FF8" w:rsidRPr="00D5469A" w:rsidTr="00DF4C38">
        <w:trPr>
          <w:trHeight w:hRule="exact" w:val="288"/>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17,656</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15,586</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13,040</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20,170</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23,853</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28,216</w:t>
            </w:r>
          </w:p>
        </w:tc>
      </w:tr>
      <w:tr w:rsidR="00295FF8" w:rsidRPr="00D5469A" w:rsidTr="00DF4C38">
        <w:trPr>
          <w:trHeight w:hRule="exact" w:val="259"/>
        </w:trPr>
        <w:tc>
          <w:tcPr>
            <w:tcW w:w="4068" w:type="dxa"/>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vAlign w:val="center"/>
          </w:tcPr>
          <w:p w:rsidR="00295FF8" w:rsidRDefault="00295FF8" w:rsidP="00295FF8">
            <w:pPr>
              <w:jc w:val="right"/>
              <w:rPr>
                <w:b/>
                <w:bCs/>
                <w:sz w:val="14"/>
                <w:szCs w:val="14"/>
              </w:rPr>
            </w:pPr>
            <w:r>
              <w:rPr>
                <w:b/>
                <w:bCs/>
                <w:sz w:val="14"/>
                <w:szCs w:val="14"/>
              </w:rPr>
              <w:t>-</w:t>
            </w:r>
          </w:p>
        </w:tc>
        <w:tc>
          <w:tcPr>
            <w:tcW w:w="792" w:type="dxa"/>
            <w:shd w:val="clear" w:color="auto" w:fill="auto"/>
            <w:noWrap/>
            <w:vAlign w:val="center"/>
          </w:tcPr>
          <w:p w:rsidR="00295FF8" w:rsidRDefault="00295FF8" w:rsidP="00295FF8">
            <w:pPr>
              <w:jc w:val="right"/>
              <w:rPr>
                <w:b/>
                <w:bCs/>
                <w:sz w:val="14"/>
                <w:szCs w:val="14"/>
              </w:rPr>
            </w:pPr>
            <w:r>
              <w:rPr>
                <w:b/>
                <w:bCs/>
                <w:sz w:val="14"/>
                <w:szCs w:val="14"/>
              </w:rPr>
              <w:t>-</w:t>
            </w:r>
          </w:p>
        </w:tc>
      </w:tr>
      <w:tr w:rsidR="00295FF8" w:rsidRPr="00D5469A" w:rsidTr="00DF4C38">
        <w:trPr>
          <w:trHeight w:hRule="exact" w:val="259"/>
        </w:trPr>
        <w:tc>
          <w:tcPr>
            <w:tcW w:w="4068" w:type="dxa"/>
            <w:tcBorders>
              <w:bottom w:val="single" w:sz="12" w:space="0" w:color="auto"/>
            </w:tcBorders>
            <w:shd w:val="clear" w:color="auto" w:fill="auto"/>
            <w:noWrap/>
            <w:vAlign w:val="center"/>
          </w:tcPr>
          <w:p w:rsidR="00295FF8" w:rsidRPr="00D5469A" w:rsidRDefault="00295FF8" w:rsidP="00295FF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w:t>
            </w:r>
          </w:p>
        </w:tc>
      </w:tr>
      <w:tr w:rsidR="00295FF8"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295FF8" w:rsidRPr="00D5469A" w:rsidRDefault="00295FF8" w:rsidP="00295FF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311,176</w:t>
            </w:r>
          </w:p>
        </w:tc>
        <w:tc>
          <w:tcPr>
            <w:tcW w:w="900" w:type="dxa"/>
            <w:tcBorders>
              <w:top w:val="single" w:sz="12" w:space="0" w:color="auto"/>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308,513</w:t>
            </w:r>
          </w:p>
        </w:tc>
        <w:tc>
          <w:tcPr>
            <w:tcW w:w="900" w:type="dxa"/>
            <w:tcBorders>
              <w:top w:val="single" w:sz="12" w:space="0" w:color="auto"/>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347,368</w:t>
            </w:r>
          </w:p>
        </w:tc>
        <w:tc>
          <w:tcPr>
            <w:tcW w:w="990" w:type="dxa"/>
            <w:tcBorders>
              <w:top w:val="single" w:sz="12" w:space="0" w:color="auto"/>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385,465</w:t>
            </w:r>
          </w:p>
        </w:tc>
        <w:tc>
          <w:tcPr>
            <w:tcW w:w="900" w:type="dxa"/>
            <w:tcBorders>
              <w:top w:val="single" w:sz="12" w:space="0" w:color="auto"/>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434,137</w:t>
            </w:r>
          </w:p>
        </w:tc>
        <w:tc>
          <w:tcPr>
            <w:tcW w:w="792" w:type="dxa"/>
            <w:tcBorders>
              <w:top w:val="single" w:sz="12" w:space="0" w:color="auto"/>
              <w:bottom w:val="single" w:sz="12" w:space="0" w:color="auto"/>
            </w:tcBorders>
            <w:shd w:val="clear" w:color="auto" w:fill="auto"/>
            <w:noWrap/>
            <w:vAlign w:val="center"/>
          </w:tcPr>
          <w:p w:rsidR="00295FF8" w:rsidRDefault="00295FF8" w:rsidP="00295FF8">
            <w:pPr>
              <w:jc w:val="right"/>
              <w:rPr>
                <w:b/>
                <w:bCs/>
                <w:sz w:val="14"/>
                <w:szCs w:val="14"/>
              </w:rPr>
            </w:pPr>
            <w:r>
              <w:rPr>
                <w:b/>
                <w:bCs/>
                <w:sz w:val="14"/>
                <w:szCs w:val="14"/>
              </w:rPr>
              <w:t>428,500</w:t>
            </w:r>
          </w:p>
        </w:tc>
      </w:tr>
      <w:tr w:rsidR="00295FF8" w:rsidRPr="00D5469A" w:rsidTr="007B3B61">
        <w:trPr>
          <w:trHeight w:val="216"/>
        </w:trPr>
        <w:tc>
          <w:tcPr>
            <w:tcW w:w="9720" w:type="dxa"/>
            <w:gridSpan w:val="7"/>
            <w:tcBorders>
              <w:top w:val="single" w:sz="12" w:space="0" w:color="auto"/>
            </w:tcBorders>
            <w:shd w:val="clear" w:color="auto" w:fill="auto"/>
            <w:noWrap/>
            <w:vAlign w:val="center"/>
          </w:tcPr>
          <w:p w:rsidR="00295FF8" w:rsidRPr="00D5469A" w:rsidRDefault="00295FF8" w:rsidP="00295FF8">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295FF8" w:rsidP="00295FF8">
            <w:pPr>
              <w:rPr>
                <w:b/>
                <w:color w:val="auto"/>
                <w:szCs w:val="16"/>
              </w:rPr>
            </w:pPr>
            <w:r>
              <w:rPr>
                <w:b/>
                <w:bCs/>
                <w:color w:val="auto"/>
                <w:szCs w:val="22"/>
              </w:rPr>
              <w:t>Dec-20</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295FF8" w:rsidP="00295FF8">
            <w:pPr>
              <w:rPr>
                <w:b/>
                <w:color w:val="auto"/>
                <w:szCs w:val="16"/>
              </w:rPr>
            </w:pPr>
            <w:r>
              <w:rPr>
                <w:b/>
                <w:color w:val="auto"/>
                <w:szCs w:val="16"/>
              </w:rPr>
              <w:t>Mar-21</w:t>
            </w:r>
          </w:p>
        </w:tc>
      </w:tr>
      <w:tr w:rsidR="00295FF8"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731,078</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176,448</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907,527</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392,613</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150,902</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543,515</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16,966</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37,985</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54,950</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15,788</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36,435</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52,223</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4,132</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17,326</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21,458</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2,538</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14,624</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17,162</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12,834</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20,658</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33,492</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13,250</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21,811</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35,061</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28,889</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47,922</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76,811</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26,244</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38,327</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64,570</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13,807</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11,183</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24,990</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17,249</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9,552</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26,801</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16,056</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6,845</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22,901</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5,350</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5,629</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10,979</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(974)</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29,884</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28,910</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3,644</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23,146</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26,790</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685,223</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89,316</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774,539</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350,581</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75,714</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426,295</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7</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7</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60</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60</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1,219</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1,219</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367</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367</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44,551</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279,907</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324,458</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44,505</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291,019</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335,525</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11,642</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259,737</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271,379</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12,118</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265,472</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277,590</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1,805</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163,039</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164,844</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1,840</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159,230</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161,070</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9,837</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96,698</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106,535</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10,278</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106,242</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116,520</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32,000</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20,087</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52,087</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31,503</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25,463</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56,966</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24,246</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2,624</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26,870</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23,142</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3,683</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26,825</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1,353</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1,149</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2,501</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1,350</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1,896</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3,245</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4,018</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15,824</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19,842</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5,750</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19,405</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25,155</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2,109</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18</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2,127</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1,009</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18</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1,026</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274</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473</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747</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253</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462</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sz w:val="14"/>
                <w:szCs w:val="14"/>
              </w:rPr>
            </w:pPr>
            <w:r>
              <w:rPr>
                <w:sz w:val="14"/>
                <w:szCs w:val="14"/>
              </w:rPr>
              <w:t>714</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w:t>
            </w:r>
          </w:p>
        </w:tc>
      </w:tr>
      <w:tr w:rsidR="00295FF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295FF8" w:rsidRPr="00D5469A" w:rsidRDefault="00295FF8" w:rsidP="00295FF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908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992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884</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84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295FF8" w:rsidRDefault="00295FF8" w:rsidP="00295FF8">
            <w:pPr>
              <w:jc w:val="right"/>
              <w:rPr>
                <w:b/>
                <w:bCs/>
                <w:sz w:val="14"/>
                <w:szCs w:val="14"/>
              </w:rPr>
            </w:pPr>
            <w:r>
              <w:rPr>
                <w:b/>
                <w:bCs/>
                <w:sz w:val="14"/>
                <w:szCs w:val="14"/>
              </w:rPr>
              <w:t>968</w:t>
            </w:r>
          </w:p>
        </w:tc>
      </w:tr>
      <w:tr w:rsidR="00295FF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295FF8" w:rsidRPr="00D5469A" w:rsidRDefault="00295FF8" w:rsidP="00295FF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95FF8" w:rsidRDefault="00295FF8" w:rsidP="00295FF8">
            <w:pPr>
              <w:jc w:val="right"/>
              <w:rPr>
                <w:b/>
                <w:bCs/>
                <w:sz w:val="14"/>
                <w:szCs w:val="14"/>
              </w:rPr>
            </w:pPr>
            <w:r>
              <w:rPr>
                <w:b/>
                <w:bCs/>
                <w:sz w:val="14"/>
                <w:szCs w:val="14"/>
              </w:rPr>
              <w:t>775,630</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295FF8" w:rsidRDefault="00295FF8" w:rsidP="00295FF8">
            <w:pPr>
              <w:jc w:val="right"/>
              <w:rPr>
                <w:b/>
                <w:bCs/>
                <w:sz w:val="14"/>
                <w:szCs w:val="14"/>
              </w:rPr>
            </w:pPr>
            <w:r>
              <w:rPr>
                <w:b/>
                <w:bCs/>
                <w:sz w:val="14"/>
                <w:szCs w:val="14"/>
              </w:rPr>
              <w:t>456,356</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295FF8" w:rsidRDefault="00295FF8" w:rsidP="00295FF8">
            <w:pPr>
              <w:jc w:val="right"/>
              <w:rPr>
                <w:b/>
                <w:bCs/>
                <w:sz w:val="14"/>
                <w:szCs w:val="14"/>
              </w:rPr>
            </w:pPr>
            <w:r>
              <w:rPr>
                <w:b/>
                <w:bCs/>
                <w:sz w:val="14"/>
                <w:szCs w:val="14"/>
              </w:rPr>
              <w:t>1,231,985</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95FF8" w:rsidRDefault="00295FF8" w:rsidP="00295FF8">
            <w:pPr>
              <w:jc w:val="right"/>
              <w:rPr>
                <w:b/>
                <w:bCs/>
                <w:sz w:val="14"/>
                <w:szCs w:val="14"/>
              </w:rPr>
            </w:pPr>
            <w:r>
              <w:rPr>
                <w:b/>
                <w:bCs/>
                <w:sz w:val="14"/>
                <w:szCs w:val="14"/>
              </w:rPr>
              <w:t>437,119</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295FF8" w:rsidRDefault="00295FF8" w:rsidP="00295FF8">
            <w:pPr>
              <w:jc w:val="right"/>
              <w:rPr>
                <w:b/>
                <w:bCs/>
                <w:sz w:val="14"/>
                <w:szCs w:val="14"/>
              </w:rPr>
            </w:pPr>
            <w:r>
              <w:rPr>
                <w:b/>
                <w:bCs/>
                <w:sz w:val="14"/>
                <w:szCs w:val="14"/>
              </w:rPr>
              <w:t>441,921</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295FF8" w:rsidRDefault="00295FF8" w:rsidP="00295FF8">
            <w:pPr>
              <w:jc w:val="right"/>
              <w:rPr>
                <w:b/>
                <w:bCs/>
                <w:sz w:val="14"/>
                <w:szCs w:val="14"/>
              </w:rPr>
            </w:pPr>
            <w:r>
              <w:rPr>
                <w:b/>
                <w:bCs/>
                <w:sz w:val="14"/>
                <w:szCs w:val="14"/>
              </w:rPr>
              <w:t>879,040</w:t>
            </w:r>
          </w:p>
        </w:tc>
      </w:tr>
      <w:tr w:rsidR="00295FF8" w:rsidRPr="00D5469A" w:rsidTr="007828BE">
        <w:trPr>
          <w:trHeight w:hRule="exact" w:val="247"/>
        </w:trPr>
        <w:tc>
          <w:tcPr>
            <w:tcW w:w="10008" w:type="dxa"/>
            <w:gridSpan w:val="7"/>
            <w:tcBorders>
              <w:top w:val="single" w:sz="12" w:space="0" w:color="auto"/>
            </w:tcBorders>
            <w:shd w:val="clear" w:color="auto" w:fill="auto"/>
            <w:noWrap/>
            <w:vAlign w:val="center"/>
          </w:tcPr>
          <w:p w:rsidR="00295FF8" w:rsidRPr="00D5469A" w:rsidRDefault="00295FF8" w:rsidP="00295FF8">
            <w:pPr>
              <w:jc w:val="right"/>
              <w:rPr>
                <w:color w:val="auto"/>
                <w:sz w:val="12"/>
                <w:szCs w:val="16"/>
              </w:rPr>
            </w:pPr>
            <w:r>
              <w:rPr>
                <w:sz w:val="14"/>
                <w:szCs w:val="14"/>
              </w:rPr>
              <w:t>Source: Statistics &amp; Data Warehouse Department SBP</w:t>
            </w:r>
          </w:p>
        </w:tc>
      </w:tr>
      <w:tr w:rsidR="00295FF8" w:rsidRPr="00D5469A" w:rsidTr="007828BE">
        <w:trPr>
          <w:trHeight w:hRule="exact" w:val="235"/>
        </w:trPr>
        <w:tc>
          <w:tcPr>
            <w:tcW w:w="10008" w:type="dxa"/>
            <w:gridSpan w:val="7"/>
            <w:shd w:val="clear" w:color="auto" w:fill="auto"/>
            <w:noWrap/>
            <w:vAlign w:val="center"/>
          </w:tcPr>
          <w:p w:rsidR="00295FF8" w:rsidRPr="009836DB" w:rsidRDefault="00295FF8" w:rsidP="00295FF8">
            <w:pPr>
              <w:jc w:val="left"/>
              <w:rPr>
                <w:color w:val="auto"/>
                <w:sz w:val="13"/>
                <w:szCs w:val="13"/>
              </w:rPr>
            </w:pPr>
            <w:r w:rsidRPr="009836DB">
              <w:rPr>
                <w:color w:val="auto"/>
                <w:sz w:val="13"/>
                <w:szCs w:val="13"/>
              </w:rPr>
              <w:t>* This includes Depository NBFCs, DFIs and MFIs.</w:t>
            </w:r>
          </w:p>
        </w:tc>
      </w:tr>
      <w:tr w:rsidR="00295FF8" w:rsidRPr="00D5469A" w:rsidTr="007828BE">
        <w:trPr>
          <w:trHeight w:hRule="exact" w:val="235"/>
        </w:trPr>
        <w:tc>
          <w:tcPr>
            <w:tcW w:w="10008" w:type="dxa"/>
            <w:gridSpan w:val="7"/>
            <w:shd w:val="clear" w:color="auto" w:fill="auto"/>
            <w:noWrap/>
            <w:vAlign w:val="center"/>
          </w:tcPr>
          <w:p w:rsidR="00295FF8" w:rsidRPr="009836DB" w:rsidRDefault="00295FF8" w:rsidP="00295FF8">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2"/>
      <w:footerReference w:type="default" r:id="rId23"/>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752" w:rsidRDefault="00413752">
      <w:r>
        <w:separator/>
      </w:r>
    </w:p>
  </w:endnote>
  <w:endnote w:type="continuationSeparator" w:id="0">
    <w:p w:rsidR="00413752" w:rsidRDefault="0041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FA" w:rsidRDefault="00FD5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FD50FA" w:rsidRDefault="00FD50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FA" w:rsidRPr="008961D3" w:rsidRDefault="00FD50FA"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63334">
      <w:rPr>
        <w:noProof/>
        <w:sz w:val="20"/>
      </w:rPr>
      <w:t>18</w:t>
    </w:r>
    <w:r w:rsidRPr="008961D3">
      <w:rPr>
        <w:sz w:val="20"/>
      </w:rPr>
      <w:fldChar w:fldCharType="end"/>
    </w:r>
  </w:p>
  <w:p w:rsidR="00FD50FA" w:rsidRPr="008961D3" w:rsidRDefault="00FD50FA">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752" w:rsidRDefault="00413752">
      <w:r>
        <w:separator/>
      </w:r>
    </w:p>
  </w:footnote>
  <w:footnote w:type="continuationSeparator" w:id="0">
    <w:p w:rsidR="00413752" w:rsidRDefault="0041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3D9E"/>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A9D"/>
    <w:rsid w:val="00124CFF"/>
    <w:rsid w:val="0012585F"/>
    <w:rsid w:val="00126295"/>
    <w:rsid w:val="001265F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6FC4"/>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070"/>
    <w:rsid w:val="0053637D"/>
    <w:rsid w:val="005364FC"/>
    <w:rsid w:val="005371FC"/>
    <w:rsid w:val="005375F3"/>
    <w:rsid w:val="00537B9C"/>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0EA0"/>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1A"/>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4A3"/>
    <w:rsid w:val="00741991"/>
    <w:rsid w:val="00741AF8"/>
    <w:rsid w:val="00741CDE"/>
    <w:rsid w:val="0074220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FB"/>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3A4"/>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1D0A"/>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7F4"/>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B76"/>
    <w:rsid w:val="00911C03"/>
    <w:rsid w:val="00911CD3"/>
    <w:rsid w:val="00911E2E"/>
    <w:rsid w:val="0091230F"/>
    <w:rsid w:val="00912B18"/>
    <w:rsid w:val="00912EE1"/>
    <w:rsid w:val="009133AD"/>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6E91"/>
    <w:rsid w:val="0094722C"/>
    <w:rsid w:val="009501FA"/>
    <w:rsid w:val="00950C31"/>
    <w:rsid w:val="0095104D"/>
    <w:rsid w:val="00951718"/>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B3"/>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6D7"/>
    <w:rsid w:val="00A92BD1"/>
    <w:rsid w:val="00A9307E"/>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4DB"/>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8D7"/>
    <w:rsid w:val="00D11B16"/>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FA6"/>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A1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18"/>
    <w:rsid w:val="00D85A24"/>
    <w:rsid w:val="00D85E28"/>
    <w:rsid w:val="00D8627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5A"/>
    <w:rsid w:val="00DB0D93"/>
    <w:rsid w:val="00DB0DE1"/>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325"/>
    <w:rsid w:val="00E0768E"/>
    <w:rsid w:val="00E077A9"/>
    <w:rsid w:val="00E079F6"/>
    <w:rsid w:val="00E07E2A"/>
    <w:rsid w:val="00E07EFE"/>
    <w:rsid w:val="00E10276"/>
    <w:rsid w:val="00E10351"/>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8B0"/>
    <w:rsid w:val="00E14A8B"/>
    <w:rsid w:val="00E14D5A"/>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6309"/>
    <w:rsid w:val="00EF6453"/>
    <w:rsid w:val="00EF654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0FA"/>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A52"/>
    <w:rsid w:val="00FF5B4B"/>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hyperlink" Target="http://www.sbp.org.pk/departments/stats/Expalanatory-Note.pdf" TargetMode="Externa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ecodata/RS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oter" Target="footer2.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E96-79D4-4AA4-AEA9-10B66A21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9578</Words>
  <Characters>54597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64047</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Umar - Statistics &amp; DWH</cp:lastModifiedBy>
  <cp:revision>66</cp:revision>
  <cp:lastPrinted>2021-04-02T11:56:00Z</cp:lastPrinted>
  <dcterms:created xsi:type="dcterms:W3CDTF">2021-04-01T05:10:00Z</dcterms:created>
  <dcterms:modified xsi:type="dcterms:W3CDTF">2021-09-06T09:24:00Z</dcterms:modified>
</cp:coreProperties>
</file>